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1B" w:rsidRDefault="00C0511B" w:rsidP="00C0511B">
      <w:pPr>
        <w:spacing w:after="0" w:line="360" w:lineRule="auto"/>
        <w:jc w:val="center"/>
        <w:rPr>
          <w:rFonts w:ascii="Book Antiqua" w:hAnsi="Book Antiqua"/>
          <w:b/>
          <w:sz w:val="36"/>
          <w:szCs w:val="36"/>
        </w:rPr>
      </w:pPr>
      <w:bookmarkStart w:id="0" w:name="_GoBack"/>
      <w:bookmarkEnd w:id="0"/>
      <w:r w:rsidRPr="00784D45">
        <w:rPr>
          <w:rFonts w:ascii="Book Antiqua" w:hAnsi="Book Antiqua"/>
          <w:b/>
          <w:sz w:val="36"/>
          <w:szCs w:val="36"/>
        </w:rPr>
        <w:t xml:space="preserve">How the “uses of the law . . . sweetly comply with </w:t>
      </w:r>
      <w:r>
        <w:rPr>
          <w:rFonts w:ascii="Book Antiqua" w:hAnsi="Book Antiqua"/>
          <w:b/>
          <w:sz w:val="36"/>
          <w:szCs w:val="36"/>
        </w:rPr>
        <w:t>. . .</w:t>
      </w:r>
    </w:p>
    <w:p w:rsidR="00C0511B" w:rsidRPr="00784D45" w:rsidRDefault="00C0511B" w:rsidP="00C0511B">
      <w:pPr>
        <w:spacing w:after="0" w:line="360" w:lineRule="auto"/>
        <w:jc w:val="center"/>
        <w:rPr>
          <w:rFonts w:ascii="Book Antiqua" w:hAnsi="Book Antiqua"/>
          <w:b/>
          <w:sz w:val="36"/>
          <w:szCs w:val="36"/>
        </w:rPr>
      </w:pPr>
      <w:proofErr w:type="gramStart"/>
      <w:r w:rsidRPr="00784D45">
        <w:rPr>
          <w:rFonts w:ascii="Book Antiqua" w:hAnsi="Book Antiqua"/>
          <w:b/>
          <w:sz w:val="36"/>
          <w:szCs w:val="36"/>
        </w:rPr>
        <w:t>the</w:t>
      </w:r>
      <w:proofErr w:type="gramEnd"/>
      <w:r w:rsidRPr="00784D45">
        <w:rPr>
          <w:rFonts w:ascii="Book Antiqua" w:hAnsi="Book Antiqua"/>
          <w:b/>
          <w:sz w:val="36"/>
          <w:szCs w:val="36"/>
        </w:rPr>
        <w:t xml:space="preserve"> grace of the Gospel” (2LCF 19.7)</w:t>
      </w:r>
    </w:p>
    <w:p w:rsidR="00C0511B" w:rsidRPr="0037302E" w:rsidRDefault="00C0511B" w:rsidP="00C0511B">
      <w:pPr>
        <w:spacing w:after="0" w:line="360" w:lineRule="auto"/>
        <w:jc w:val="center"/>
        <w:rPr>
          <w:rFonts w:ascii="Book Antiqua" w:eastAsia="Times New Roman" w:hAnsi="Book Antiqua" w:cs="Times New Roman"/>
          <w:b/>
        </w:rPr>
      </w:pPr>
      <w:r w:rsidRPr="0037302E">
        <w:rPr>
          <w:rFonts w:ascii="Book Antiqua" w:hAnsi="Book Antiqua"/>
        </w:rPr>
        <w:t>Richard C. Barcellos</w:t>
      </w:r>
    </w:p>
    <w:p w:rsidR="00C0511B" w:rsidRPr="00FD54CA" w:rsidRDefault="00C0511B" w:rsidP="00FD54CA">
      <w:pPr>
        <w:spacing w:after="0" w:line="240" w:lineRule="auto"/>
        <w:jc w:val="both"/>
        <w:rPr>
          <w:rFonts w:ascii="Book Antiqua" w:eastAsia="Times New Roman" w:hAnsi="Book Antiqua" w:cs="Times New Roman"/>
          <w:b/>
          <w:sz w:val="40"/>
          <w:szCs w:val="40"/>
        </w:rPr>
      </w:pPr>
    </w:p>
    <w:p w:rsidR="00C0511B" w:rsidRPr="0037302E" w:rsidRDefault="00C0511B" w:rsidP="00C0511B">
      <w:pPr>
        <w:spacing w:after="0" w:line="240" w:lineRule="auto"/>
        <w:ind w:left="360" w:right="360"/>
        <w:jc w:val="both"/>
        <w:rPr>
          <w:rFonts w:ascii="Book Antiqua" w:eastAsia="Times New Roman" w:hAnsi="Book Antiqua" w:cs="Times New Roman"/>
          <w:b/>
        </w:rPr>
      </w:pPr>
      <w:r w:rsidRPr="0037302E">
        <w:rPr>
          <w:rFonts w:ascii="Book Antiqua" w:eastAsia="Times New Roman" w:hAnsi="Book Antiqua" w:cs="Times New Roman"/>
        </w:rPr>
        <w:t>Neither are the aforementi</w:t>
      </w:r>
      <w:r>
        <w:rPr>
          <w:rFonts w:ascii="Book Antiqua" w:eastAsia="Times New Roman" w:hAnsi="Book Antiqua" w:cs="Times New Roman"/>
        </w:rPr>
        <w:t>oned uses of the law</w:t>
      </w:r>
      <w:r w:rsidRPr="0037302E">
        <w:rPr>
          <w:rFonts w:ascii="Book Antiqua" w:eastAsia="Times New Roman" w:hAnsi="Book Antiqua" w:cs="Times New Roman"/>
        </w:rPr>
        <w:t xml:space="preserve"> contrary to the grace of the Gospel, but do sweetly com</w:t>
      </w:r>
      <w:r>
        <w:rPr>
          <w:rFonts w:ascii="Book Antiqua" w:eastAsia="Times New Roman" w:hAnsi="Book Antiqua" w:cs="Times New Roman"/>
        </w:rPr>
        <w:t xml:space="preserve">ply with it </w:t>
      </w:r>
      <w:r w:rsidRPr="0037302E">
        <w:rPr>
          <w:rFonts w:ascii="Book Antiqua" w:eastAsia="Times New Roman" w:hAnsi="Book Antiqua" w:cs="Times New Roman"/>
        </w:rPr>
        <w:t>.</w:t>
      </w:r>
      <w:r>
        <w:rPr>
          <w:rFonts w:ascii="Book Antiqua" w:eastAsia="Times New Roman" w:hAnsi="Book Antiqua" w:cs="Times New Roman"/>
        </w:rPr>
        <w:t xml:space="preserve"> . .</w:t>
      </w:r>
      <w:r w:rsidRPr="0037302E">
        <w:rPr>
          <w:rFonts w:ascii="Book Antiqua" w:eastAsia="Times New Roman" w:hAnsi="Book Antiqua" w:cs="Times New Roman"/>
        </w:rPr>
        <w:t xml:space="preserve"> (2LCF 19.7</w:t>
      </w:r>
      <w:r>
        <w:rPr>
          <w:rFonts w:ascii="Book Antiqua" w:eastAsia="Times New Roman" w:hAnsi="Book Antiqua" w:cs="Times New Roman"/>
        </w:rPr>
        <w:t>a</w:t>
      </w:r>
      <w:r w:rsidRPr="0037302E">
        <w:rPr>
          <w:rFonts w:ascii="Book Antiqua" w:eastAsia="Times New Roman" w:hAnsi="Book Antiqua" w:cs="Times New Roman"/>
        </w:rPr>
        <w:t>)</w:t>
      </w:r>
    </w:p>
    <w:p w:rsidR="00C0511B" w:rsidRPr="0037302E" w:rsidRDefault="00C0511B" w:rsidP="00C0511B">
      <w:pPr>
        <w:spacing w:after="0" w:line="240" w:lineRule="auto"/>
        <w:rPr>
          <w:rFonts w:ascii="Book Antiqua" w:eastAsia="Times New Roman" w:hAnsi="Book Antiqua" w:cs="Times New Roman"/>
        </w:rPr>
      </w:pPr>
    </w:p>
    <w:p w:rsidR="00C0511B" w:rsidRPr="0037302E" w:rsidRDefault="00C0511B" w:rsidP="00C0511B">
      <w:pPr>
        <w:spacing w:after="0" w:line="240" w:lineRule="auto"/>
        <w:jc w:val="both"/>
        <w:rPr>
          <w:rFonts w:ascii="Book Antiqua" w:eastAsia="Times New Roman" w:hAnsi="Book Antiqua" w:cs="Times New Roman"/>
        </w:rPr>
      </w:pPr>
      <w:r w:rsidRPr="0037302E">
        <w:rPr>
          <w:rFonts w:ascii="Book Antiqua" w:eastAsia="Times New Roman" w:hAnsi="Book Antiqua" w:cs="Times New Roman"/>
        </w:rPr>
        <w:t>Our subject is important for at least three</w:t>
      </w:r>
      <w:r>
        <w:rPr>
          <w:rFonts w:ascii="Book Antiqua" w:eastAsia="Times New Roman" w:hAnsi="Book Antiqua" w:cs="Times New Roman"/>
        </w:rPr>
        <w:t xml:space="preserve"> reasons. </w:t>
      </w:r>
      <w:proofErr w:type="gramStart"/>
      <w:r>
        <w:rPr>
          <w:rFonts w:ascii="Book Antiqua" w:eastAsia="Times New Roman" w:hAnsi="Book Antiqua" w:cs="Times New Roman"/>
        </w:rPr>
        <w:t>First,</w:t>
      </w:r>
      <w:r w:rsidRPr="0037302E">
        <w:rPr>
          <w:rFonts w:ascii="Book Antiqua" w:eastAsia="Times New Roman" w:hAnsi="Book Antiqua" w:cs="Times New Roman"/>
        </w:rPr>
        <w:t xml:space="preserve"> because this is what we confess as confessional, associational churches.</w:t>
      </w:r>
      <w:proofErr w:type="gramEnd"/>
      <w:r w:rsidRPr="0037302E">
        <w:rPr>
          <w:rFonts w:ascii="Book Antiqua" w:eastAsia="Times New Roman" w:hAnsi="Book Antiqua" w:cs="Times New Roman"/>
        </w:rPr>
        <w:t xml:space="preserve"> It is, therefore, what we believe the Bible teaches.</w:t>
      </w:r>
      <w:r>
        <w:rPr>
          <w:rFonts w:ascii="Book Antiqua" w:eastAsia="Times New Roman" w:hAnsi="Book Antiqua" w:cs="Times New Roman"/>
        </w:rPr>
        <w:t xml:space="preserve"> Second, </w:t>
      </w:r>
      <w:r w:rsidRPr="0037302E">
        <w:rPr>
          <w:rFonts w:ascii="Book Antiqua" w:eastAsia="Times New Roman" w:hAnsi="Book Antiqua" w:cs="Times New Roman"/>
        </w:rPr>
        <w:t>because it is one of those confessional assertions that is often misunderstood and, in our day, denied by prominent evangelicals.</w:t>
      </w:r>
      <w:r w:rsidRPr="0037302E">
        <w:rPr>
          <w:rStyle w:val="FootnoteReference"/>
          <w:rFonts w:ascii="Book Antiqua" w:eastAsia="Times New Roman" w:hAnsi="Book Antiqua" w:cs="Times New Roman"/>
        </w:rPr>
        <w:footnoteReference w:id="1"/>
      </w:r>
      <w:r w:rsidRPr="0037302E">
        <w:rPr>
          <w:rFonts w:ascii="Book Antiqua" w:eastAsia="Times New Roman" w:hAnsi="Book Antiqua" w:cs="Times New Roman"/>
        </w:rPr>
        <w:t xml:space="preserve"> And third, it is important for the well-being of our churches, </w:t>
      </w:r>
      <w:proofErr w:type="gramStart"/>
      <w:r w:rsidRPr="0037302E">
        <w:rPr>
          <w:rFonts w:ascii="Book Antiqua" w:eastAsia="Times New Roman" w:hAnsi="Book Antiqua" w:cs="Times New Roman"/>
        </w:rPr>
        <w:t>which</w:t>
      </w:r>
      <w:proofErr w:type="gramEnd"/>
      <w:r w:rsidRPr="0037302E">
        <w:rPr>
          <w:rFonts w:ascii="Book Antiqua" w:eastAsia="Times New Roman" w:hAnsi="Book Antiqua" w:cs="Times New Roman"/>
        </w:rPr>
        <w:t xml:space="preserve"> are comprised of God’s dear children. This </w:t>
      </w:r>
      <w:r>
        <w:rPr>
          <w:rFonts w:ascii="Book Antiqua" w:eastAsia="Times New Roman" w:hAnsi="Book Antiqua" w:cs="Times New Roman"/>
        </w:rPr>
        <w:t xml:space="preserve">last reason </w:t>
      </w:r>
      <w:r w:rsidRPr="0037302E">
        <w:rPr>
          <w:rFonts w:ascii="Book Antiqua" w:eastAsia="Times New Roman" w:hAnsi="Book Antiqua" w:cs="Times New Roman"/>
        </w:rPr>
        <w:t xml:space="preserve">will be examined </w:t>
      </w:r>
      <w:r>
        <w:rPr>
          <w:rFonts w:ascii="Book Antiqua" w:eastAsia="Times New Roman" w:hAnsi="Book Antiqua" w:cs="Times New Roman"/>
        </w:rPr>
        <w:t xml:space="preserve">more fully </w:t>
      </w:r>
      <w:r w:rsidRPr="0037302E">
        <w:rPr>
          <w:rFonts w:ascii="Book Antiqua" w:eastAsia="Times New Roman" w:hAnsi="Book Antiqua" w:cs="Times New Roman"/>
        </w:rPr>
        <w:t>in the conclusion.</w:t>
      </w:r>
    </w:p>
    <w:p w:rsidR="00C0511B" w:rsidRPr="0037302E" w:rsidRDefault="00C0511B" w:rsidP="00C0511B">
      <w:pPr>
        <w:spacing w:after="0" w:line="240" w:lineRule="auto"/>
        <w:ind w:firstLine="360"/>
        <w:jc w:val="both"/>
        <w:rPr>
          <w:rFonts w:ascii="Book Antiqua" w:hAnsi="Book Antiqua"/>
        </w:rPr>
      </w:pPr>
      <w:r w:rsidRPr="0037302E">
        <w:rPr>
          <w:rFonts w:ascii="Book Antiqua" w:eastAsia="Times New Roman" w:hAnsi="Book Antiqua" w:cs="Times New Roman"/>
        </w:rPr>
        <w:t xml:space="preserve">In addressing the issue of how the </w:t>
      </w:r>
      <w:r w:rsidRPr="0037302E">
        <w:rPr>
          <w:rFonts w:ascii="Book Antiqua" w:hAnsi="Book Antiqua"/>
        </w:rPr>
        <w:t>“uses of the law . . . sweetly comply with the grace of the Gospel” (2LCF 19.7), we will consider 2LCF 19.7 in its confessional context, define some technical terms utilized in discussions about the law of God, identify the “uses of the law” implied by this paragraph, and discuss how the “uses of the law . . . sweetly comply with the grace of the Gospel.” A conclusion to the whole will be our final consideration of this topic in light of the discussion.</w:t>
      </w:r>
    </w:p>
    <w:p w:rsidR="00C0511B" w:rsidRPr="00FD54CA" w:rsidRDefault="00C0511B" w:rsidP="00C0511B">
      <w:pPr>
        <w:spacing w:after="0" w:line="240" w:lineRule="auto"/>
        <w:jc w:val="both"/>
        <w:rPr>
          <w:rFonts w:ascii="Book Antiqua" w:hAnsi="Book Antiqua"/>
          <w:sz w:val="30"/>
          <w:szCs w:val="30"/>
        </w:rPr>
      </w:pPr>
    </w:p>
    <w:p w:rsidR="00C0511B" w:rsidRPr="00784D45" w:rsidRDefault="00C0511B" w:rsidP="00C0511B">
      <w:pPr>
        <w:spacing w:after="0" w:line="240" w:lineRule="auto"/>
        <w:jc w:val="center"/>
        <w:rPr>
          <w:rFonts w:ascii="Book Antiqua" w:eastAsia="Times New Roman" w:hAnsi="Book Antiqua" w:cs="Times New Roman"/>
          <w:b/>
          <w:sz w:val="26"/>
          <w:szCs w:val="26"/>
        </w:rPr>
      </w:pPr>
      <w:r w:rsidRPr="00784D45">
        <w:rPr>
          <w:rFonts w:ascii="Book Antiqua" w:hAnsi="Book Antiqua"/>
          <w:b/>
          <w:sz w:val="26"/>
          <w:szCs w:val="26"/>
        </w:rPr>
        <w:t>The Confessional Context of 2LCF 19.7</w:t>
      </w:r>
    </w:p>
    <w:p w:rsidR="00C0511B" w:rsidRPr="0037302E" w:rsidRDefault="00C0511B" w:rsidP="00C0511B">
      <w:pPr>
        <w:spacing w:after="0" w:line="240" w:lineRule="auto"/>
        <w:jc w:val="both"/>
        <w:rPr>
          <w:rFonts w:ascii="Book Antiqua" w:eastAsia="Times New Roman" w:hAnsi="Book Antiqua" w:cs="Times New Roman"/>
        </w:rPr>
      </w:pPr>
    </w:p>
    <w:p w:rsidR="00C0511B" w:rsidRPr="0037302E" w:rsidRDefault="00C0511B" w:rsidP="00C0511B">
      <w:pPr>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Our Confession at </w:t>
      </w:r>
      <w:r w:rsidRPr="0037302E">
        <w:rPr>
          <w:rFonts w:ascii="Book Antiqua" w:eastAsia="Times New Roman" w:hAnsi="Book Antiqua" w:cs="Times New Roman"/>
        </w:rPr>
        <w:t>19</w:t>
      </w:r>
      <w:r>
        <w:rPr>
          <w:rFonts w:ascii="Book Antiqua" w:eastAsia="Times New Roman" w:hAnsi="Book Antiqua" w:cs="Times New Roman"/>
        </w:rPr>
        <w:t>.7</w:t>
      </w:r>
      <w:r w:rsidRPr="0037302E">
        <w:rPr>
          <w:rFonts w:ascii="Book Antiqua" w:eastAsia="Times New Roman" w:hAnsi="Book Antiqua" w:cs="Times New Roman"/>
        </w:rPr>
        <w:t xml:space="preserve"> assumes and builds upon the previous paragraphs. An outline of chapter 19 may help to see the progress and development of the doctrine of the law of God and how 2LCF 19.7 functions in light of what </w:t>
      </w:r>
      <w:proofErr w:type="gramStart"/>
      <w:r w:rsidRPr="0037302E">
        <w:rPr>
          <w:rFonts w:ascii="Book Antiqua" w:eastAsia="Times New Roman" w:hAnsi="Book Antiqua" w:cs="Times New Roman"/>
        </w:rPr>
        <w:t>precedes</w:t>
      </w:r>
      <w:proofErr w:type="gramEnd"/>
      <w:r w:rsidRPr="0037302E">
        <w:rPr>
          <w:rFonts w:ascii="Book Antiqua" w:eastAsia="Times New Roman" w:hAnsi="Book Antiqua" w:cs="Times New Roman"/>
        </w:rPr>
        <w:t xml:space="preserve"> it.</w:t>
      </w:r>
      <w:r w:rsidRPr="0037302E">
        <w:rPr>
          <w:rStyle w:val="FootnoteReference"/>
          <w:rFonts w:ascii="Book Antiqua" w:eastAsia="Times New Roman" w:hAnsi="Book Antiqua" w:cs="Times New Roman"/>
        </w:rPr>
        <w:footnoteReference w:id="2"/>
      </w:r>
    </w:p>
    <w:p w:rsidR="00C0511B" w:rsidRPr="0037302E" w:rsidRDefault="00C0511B" w:rsidP="00C0511B">
      <w:pPr>
        <w:spacing w:after="0" w:line="240" w:lineRule="auto"/>
        <w:jc w:val="both"/>
        <w:rPr>
          <w:rFonts w:ascii="Book Antiqua" w:eastAsia="Times New Roman" w:hAnsi="Book Antiqua" w:cs="Times New Roman"/>
        </w:rPr>
      </w:pPr>
    </w:p>
    <w:p w:rsidR="00C0511B" w:rsidRPr="0037302E" w:rsidRDefault="00C0511B" w:rsidP="00C0511B">
      <w:pPr>
        <w:pStyle w:val="Heading4"/>
        <w:numPr>
          <w:ilvl w:val="3"/>
          <w:numId w:val="2"/>
        </w:numPr>
        <w:tabs>
          <w:tab w:val="clear" w:pos="4680"/>
        </w:tabs>
        <w:ind w:left="720"/>
        <w:rPr>
          <w:rFonts w:ascii="Book Antiqua" w:hAnsi="Book Antiqua"/>
          <w:sz w:val="22"/>
          <w:szCs w:val="22"/>
        </w:rPr>
      </w:pPr>
      <w:r w:rsidRPr="0037302E">
        <w:rPr>
          <w:rFonts w:ascii="Book Antiqua" w:hAnsi="Book Antiqua"/>
          <w:sz w:val="22"/>
          <w:szCs w:val="22"/>
        </w:rPr>
        <w:t>The Initial Revelation of the Law of God–BCF 19:1 “God gave to Adam a law of universal obedience . . .”</w:t>
      </w:r>
    </w:p>
    <w:p w:rsidR="00C0511B" w:rsidRPr="0037302E" w:rsidRDefault="00C0511B" w:rsidP="00C0511B">
      <w:pPr>
        <w:pStyle w:val="Heading4"/>
        <w:numPr>
          <w:ilvl w:val="3"/>
          <w:numId w:val="2"/>
        </w:numPr>
        <w:tabs>
          <w:tab w:val="clear" w:pos="4680"/>
        </w:tabs>
        <w:ind w:left="720"/>
        <w:rPr>
          <w:rFonts w:ascii="Book Antiqua" w:hAnsi="Book Antiqua"/>
          <w:sz w:val="22"/>
          <w:szCs w:val="22"/>
        </w:rPr>
      </w:pPr>
      <w:r w:rsidRPr="0037302E">
        <w:rPr>
          <w:rFonts w:ascii="Book Antiqua" w:hAnsi="Book Antiqua"/>
          <w:sz w:val="22"/>
          <w:szCs w:val="22"/>
        </w:rPr>
        <w:t>The Subsequent Function and Revelation of the Law of God–2LCF 19.2-4</w:t>
      </w:r>
    </w:p>
    <w:p w:rsidR="00C0511B" w:rsidRPr="0037302E" w:rsidRDefault="00C0511B" w:rsidP="00C0511B">
      <w:pPr>
        <w:numPr>
          <w:ilvl w:val="4"/>
          <w:numId w:val="2"/>
        </w:numPr>
        <w:tabs>
          <w:tab w:val="clear" w:pos="5400"/>
        </w:tabs>
        <w:spacing w:after="0" w:line="240" w:lineRule="auto"/>
        <w:ind w:left="1080"/>
        <w:jc w:val="both"/>
        <w:rPr>
          <w:rFonts w:ascii="Book Antiqua" w:hAnsi="Book Antiqua"/>
        </w:rPr>
      </w:pPr>
      <w:r w:rsidRPr="0037302E">
        <w:rPr>
          <w:rFonts w:ascii="Book Antiqua" w:hAnsi="Book Antiqua"/>
        </w:rPr>
        <w:t>Its subsequent function: Adam to Moses–2LCF 19.2a “The same law that was first written in the heart of man continued to be a perfect rule of righteousness after the fall”</w:t>
      </w:r>
    </w:p>
    <w:p w:rsidR="00C0511B" w:rsidRPr="0037302E" w:rsidRDefault="00C0511B" w:rsidP="00C0511B">
      <w:pPr>
        <w:numPr>
          <w:ilvl w:val="4"/>
          <w:numId w:val="2"/>
        </w:numPr>
        <w:tabs>
          <w:tab w:val="clear" w:pos="5400"/>
        </w:tabs>
        <w:spacing w:after="0" w:line="240" w:lineRule="auto"/>
        <w:ind w:left="1080"/>
        <w:jc w:val="both"/>
        <w:rPr>
          <w:rFonts w:ascii="Book Antiqua" w:hAnsi="Book Antiqua"/>
        </w:rPr>
      </w:pPr>
      <w:r w:rsidRPr="0037302E">
        <w:rPr>
          <w:rFonts w:ascii="Book Antiqua" w:hAnsi="Book Antiqua"/>
        </w:rPr>
        <w:lastRenderedPageBreak/>
        <w:t>Its subsequent revelation: Mosaic Law–2LCF 19.2b-4 “and was delivered by God upon Mount Sinai”</w:t>
      </w:r>
    </w:p>
    <w:p w:rsidR="00C0511B" w:rsidRPr="0037302E" w:rsidRDefault="00C0511B" w:rsidP="00C0511B">
      <w:pPr>
        <w:numPr>
          <w:ilvl w:val="5"/>
          <w:numId w:val="2"/>
        </w:numPr>
        <w:tabs>
          <w:tab w:val="clear" w:pos="6300"/>
        </w:tabs>
        <w:spacing w:after="0" w:line="240" w:lineRule="auto"/>
        <w:ind w:left="1440"/>
        <w:jc w:val="both"/>
        <w:rPr>
          <w:rFonts w:ascii="Book Antiqua" w:hAnsi="Book Antiqua"/>
        </w:rPr>
      </w:pPr>
      <w:r w:rsidRPr="0037302E">
        <w:rPr>
          <w:rFonts w:ascii="Book Antiqua" w:hAnsi="Book Antiqua"/>
        </w:rPr>
        <w:t>Mosaic law and the law written on the heart (i.e., Moral Law)</w:t>
      </w:r>
    </w:p>
    <w:p w:rsidR="00C0511B" w:rsidRPr="0037302E" w:rsidRDefault="00C0511B" w:rsidP="00C0511B">
      <w:pPr>
        <w:numPr>
          <w:ilvl w:val="5"/>
          <w:numId w:val="2"/>
        </w:numPr>
        <w:tabs>
          <w:tab w:val="clear" w:pos="6300"/>
        </w:tabs>
        <w:spacing w:after="0" w:line="240" w:lineRule="auto"/>
        <w:ind w:left="1440"/>
        <w:jc w:val="both"/>
        <w:rPr>
          <w:rFonts w:ascii="Book Antiqua" w:hAnsi="Book Antiqua"/>
        </w:rPr>
      </w:pPr>
      <w:r w:rsidRPr="0037302E">
        <w:rPr>
          <w:rFonts w:ascii="Book Antiqua" w:hAnsi="Book Antiqua"/>
        </w:rPr>
        <w:t>Mosaic law and supplemental/positive law–2LCF 19.3-4 “</w:t>
      </w:r>
      <w:r w:rsidRPr="0037302E">
        <w:rPr>
          <w:rFonts w:ascii="Book Antiqua" w:eastAsia="Times New Roman" w:hAnsi="Book Antiqua" w:cs="Times New Roman"/>
        </w:rPr>
        <w:t>Besides this law, commonly called moral . . .”</w:t>
      </w:r>
    </w:p>
    <w:p w:rsidR="00C0511B" w:rsidRPr="0037302E" w:rsidRDefault="00C0511B" w:rsidP="00C0511B">
      <w:pPr>
        <w:pStyle w:val="Heading4"/>
        <w:numPr>
          <w:ilvl w:val="3"/>
          <w:numId w:val="2"/>
        </w:numPr>
        <w:tabs>
          <w:tab w:val="clear" w:pos="4680"/>
        </w:tabs>
        <w:ind w:left="720"/>
        <w:rPr>
          <w:rFonts w:ascii="Book Antiqua" w:hAnsi="Book Antiqua"/>
          <w:sz w:val="22"/>
          <w:szCs w:val="22"/>
        </w:rPr>
      </w:pPr>
      <w:r w:rsidRPr="0037302E">
        <w:rPr>
          <w:rFonts w:ascii="Book Antiqua" w:hAnsi="Book Antiqua"/>
          <w:sz w:val="22"/>
          <w:szCs w:val="22"/>
        </w:rPr>
        <w:t>The Universal Obligation of the Law of God–2LCF 19.5</w:t>
      </w:r>
    </w:p>
    <w:p w:rsidR="00C0511B" w:rsidRPr="0037302E" w:rsidRDefault="00C0511B" w:rsidP="00C0511B">
      <w:pPr>
        <w:pStyle w:val="Heading4"/>
        <w:numPr>
          <w:ilvl w:val="4"/>
          <w:numId w:val="2"/>
        </w:numPr>
        <w:tabs>
          <w:tab w:val="clear" w:pos="5400"/>
        </w:tabs>
        <w:ind w:left="1080"/>
        <w:rPr>
          <w:rFonts w:ascii="Book Antiqua" w:hAnsi="Book Antiqua"/>
          <w:sz w:val="22"/>
          <w:szCs w:val="22"/>
        </w:rPr>
      </w:pPr>
      <w:r w:rsidRPr="0037302E">
        <w:rPr>
          <w:rFonts w:ascii="Book Antiqua" w:hAnsi="Book Antiqua"/>
          <w:sz w:val="22"/>
          <w:szCs w:val="22"/>
        </w:rPr>
        <w:t>Its Statement–2LCF 19.5a “The moral law doth for ever bind all, (Rom. 13:8-10; James 2:8, 10-12) as well justified persons as others, to the obedience thereof”</w:t>
      </w:r>
    </w:p>
    <w:p w:rsidR="00C0511B" w:rsidRPr="0037302E" w:rsidRDefault="00C0511B" w:rsidP="00C0511B">
      <w:pPr>
        <w:pStyle w:val="Heading4"/>
        <w:numPr>
          <w:ilvl w:val="4"/>
          <w:numId w:val="2"/>
        </w:numPr>
        <w:tabs>
          <w:tab w:val="clear" w:pos="5400"/>
        </w:tabs>
        <w:ind w:left="1080"/>
        <w:rPr>
          <w:rFonts w:ascii="Book Antiqua" w:hAnsi="Book Antiqua"/>
          <w:sz w:val="22"/>
          <w:szCs w:val="22"/>
        </w:rPr>
      </w:pPr>
      <w:r w:rsidRPr="0037302E">
        <w:rPr>
          <w:rFonts w:ascii="Book Antiqua" w:hAnsi="Book Antiqua"/>
          <w:sz w:val="22"/>
          <w:szCs w:val="22"/>
        </w:rPr>
        <w:t>Its Basis–2LCF 19.5b</w:t>
      </w:r>
    </w:p>
    <w:p w:rsidR="00C0511B" w:rsidRPr="0037302E" w:rsidRDefault="00C0511B" w:rsidP="00C0511B">
      <w:pPr>
        <w:pStyle w:val="Heading4"/>
        <w:numPr>
          <w:ilvl w:val="5"/>
          <w:numId w:val="2"/>
        </w:numPr>
        <w:tabs>
          <w:tab w:val="clear" w:pos="6300"/>
        </w:tabs>
        <w:ind w:left="1440"/>
        <w:rPr>
          <w:rFonts w:ascii="Book Antiqua" w:hAnsi="Book Antiqua"/>
          <w:sz w:val="22"/>
          <w:szCs w:val="22"/>
        </w:rPr>
      </w:pPr>
      <w:r w:rsidRPr="0037302E">
        <w:rPr>
          <w:rFonts w:ascii="Book Antiqua" w:hAnsi="Book Antiqua"/>
          <w:sz w:val="22"/>
          <w:szCs w:val="22"/>
        </w:rPr>
        <w:t>Because of its content: “and that not only in regard of the matter contained in it,”</w:t>
      </w:r>
    </w:p>
    <w:p w:rsidR="00C0511B" w:rsidRPr="0037302E" w:rsidRDefault="00C0511B" w:rsidP="00C0511B">
      <w:pPr>
        <w:pStyle w:val="Heading4"/>
        <w:numPr>
          <w:ilvl w:val="5"/>
          <w:numId w:val="2"/>
        </w:numPr>
        <w:tabs>
          <w:tab w:val="clear" w:pos="6300"/>
        </w:tabs>
        <w:ind w:left="1440"/>
        <w:rPr>
          <w:rFonts w:ascii="Book Antiqua" w:hAnsi="Book Antiqua"/>
          <w:sz w:val="22"/>
          <w:szCs w:val="22"/>
        </w:rPr>
      </w:pPr>
      <w:r w:rsidRPr="0037302E">
        <w:rPr>
          <w:rFonts w:ascii="Book Antiqua" w:hAnsi="Book Antiqua"/>
          <w:sz w:val="22"/>
          <w:szCs w:val="22"/>
        </w:rPr>
        <w:t>Because of its giver: “but also in respect of the (James 2:10, 11) authority of God the Creator, who gave it;”</w:t>
      </w:r>
    </w:p>
    <w:p w:rsidR="00C0511B" w:rsidRPr="0037302E" w:rsidRDefault="00C0511B" w:rsidP="00C0511B">
      <w:pPr>
        <w:pStyle w:val="Heading4"/>
        <w:numPr>
          <w:ilvl w:val="4"/>
          <w:numId w:val="2"/>
        </w:numPr>
        <w:tabs>
          <w:tab w:val="clear" w:pos="5400"/>
        </w:tabs>
        <w:ind w:left="1080"/>
        <w:rPr>
          <w:rFonts w:ascii="Book Antiqua" w:hAnsi="Book Antiqua"/>
          <w:sz w:val="22"/>
          <w:szCs w:val="22"/>
        </w:rPr>
      </w:pPr>
      <w:r w:rsidRPr="0037302E">
        <w:rPr>
          <w:rFonts w:ascii="Book Antiqua" w:hAnsi="Book Antiqua"/>
          <w:sz w:val="22"/>
          <w:szCs w:val="22"/>
        </w:rPr>
        <w:t xml:space="preserve">Its Strengthening–2LCF 19.5c “neither doth Christ in the Gospel any way dissolve, (Matt. 5:17-19; Rom. 3:31) but much </w:t>
      </w:r>
      <w:proofErr w:type="gramStart"/>
      <w:r w:rsidRPr="0037302E">
        <w:rPr>
          <w:rFonts w:ascii="Book Antiqua" w:hAnsi="Book Antiqua"/>
          <w:sz w:val="22"/>
          <w:szCs w:val="22"/>
        </w:rPr>
        <w:t>strengthen</w:t>
      </w:r>
      <w:proofErr w:type="gramEnd"/>
      <w:r w:rsidRPr="0037302E">
        <w:rPr>
          <w:rFonts w:ascii="Book Antiqua" w:hAnsi="Book Antiqua"/>
          <w:sz w:val="22"/>
          <w:szCs w:val="22"/>
        </w:rPr>
        <w:t xml:space="preserve"> this obligation.”</w:t>
      </w:r>
    </w:p>
    <w:p w:rsidR="00C0511B" w:rsidRPr="0037302E" w:rsidRDefault="00C0511B" w:rsidP="00C0511B">
      <w:pPr>
        <w:pStyle w:val="Heading4"/>
        <w:numPr>
          <w:ilvl w:val="3"/>
          <w:numId w:val="2"/>
        </w:numPr>
        <w:tabs>
          <w:tab w:val="clear" w:pos="4680"/>
        </w:tabs>
        <w:ind w:left="720"/>
        <w:rPr>
          <w:rFonts w:ascii="Book Antiqua" w:hAnsi="Book Antiqua"/>
          <w:sz w:val="22"/>
          <w:szCs w:val="22"/>
        </w:rPr>
      </w:pPr>
      <w:r w:rsidRPr="0037302E">
        <w:rPr>
          <w:rFonts w:ascii="Book Antiqua" w:hAnsi="Book Antiqua"/>
          <w:sz w:val="22"/>
          <w:szCs w:val="22"/>
        </w:rPr>
        <w:t>The Various Uses of the Law of God–2LCF19.6-7</w:t>
      </w:r>
    </w:p>
    <w:p w:rsidR="00C0511B" w:rsidRPr="0037302E" w:rsidRDefault="00C0511B" w:rsidP="00C0511B">
      <w:pPr>
        <w:numPr>
          <w:ilvl w:val="4"/>
          <w:numId w:val="2"/>
        </w:numPr>
        <w:tabs>
          <w:tab w:val="clear" w:pos="5400"/>
        </w:tabs>
        <w:spacing w:after="0" w:line="240" w:lineRule="auto"/>
        <w:ind w:left="1080"/>
        <w:jc w:val="both"/>
        <w:rPr>
          <w:rFonts w:ascii="Book Antiqua" w:hAnsi="Book Antiqua"/>
        </w:rPr>
      </w:pPr>
      <w:r w:rsidRPr="0037302E">
        <w:rPr>
          <w:rFonts w:ascii="Book Antiqua" w:hAnsi="Book Antiqua"/>
        </w:rPr>
        <w:t>Uses common to believers and unbelievers “</w:t>
      </w:r>
      <w:r w:rsidRPr="0037302E">
        <w:rPr>
          <w:rFonts w:ascii="Book Antiqua" w:eastAsia="Times New Roman" w:hAnsi="Book Antiqua" w:cs="Times New Roman"/>
        </w:rPr>
        <w:t>Although true believers be not under the law as a covenant of works, to be thereby justified or condemned, yet it is of great use to them as well as to others,”</w:t>
      </w:r>
    </w:p>
    <w:p w:rsidR="00C0511B" w:rsidRPr="0037302E" w:rsidRDefault="00C0511B" w:rsidP="00C0511B">
      <w:pPr>
        <w:numPr>
          <w:ilvl w:val="5"/>
          <w:numId w:val="2"/>
        </w:numPr>
        <w:tabs>
          <w:tab w:val="clear" w:pos="6300"/>
        </w:tabs>
        <w:spacing w:after="0" w:line="240" w:lineRule="auto"/>
        <w:ind w:left="1440"/>
        <w:jc w:val="both"/>
        <w:rPr>
          <w:rFonts w:ascii="Book Antiqua" w:hAnsi="Book Antiqua"/>
        </w:rPr>
      </w:pPr>
      <w:r w:rsidRPr="0037302E">
        <w:rPr>
          <w:rFonts w:ascii="Book Antiqua" w:hAnsi="Book Antiqua"/>
        </w:rPr>
        <w:t>It directs and binds as a rule of life. “</w:t>
      </w:r>
      <w:r w:rsidRPr="0037302E">
        <w:rPr>
          <w:rFonts w:ascii="Book Antiqua" w:eastAsia="Times New Roman" w:hAnsi="Book Antiqua" w:cs="Times New Roman"/>
        </w:rPr>
        <w:t>in that as a rule of life, informing them of the will of God and their duty, it directs and binds them to walk accordingly;”</w:t>
      </w:r>
    </w:p>
    <w:p w:rsidR="00C0511B" w:rsidRPr="0037302E" w:rsidRDefault="00C0511B" w:rsidP="00C0511B">
      <w:pPr>
        <w:numPr>
          <w:ilvl w:val="5"/>
          <w:numId w:val="2"/>
        </w:numPr>
        <w:tabs>
          <w:tab w:val="clear" w:pos="6300"/>
        </w:tabs>
        <w:spacing w:after="0" w:line="240" w:lineRule="auto"/>
        <w:ind w:left="1440"/>
        <w:jc w:val="both"/>
        <w:rPr>
          <w:rFonts w:ascii="Book Antiqua" w:hAnsi="Book Antiqua"/>
        </w:rPr>
      </w:pPr>
      <w:r w:rsidRPr="0037302E">
        <w:rPr>
          <w:rFonts w:ascii="Book Antiqua" w:hAnsi="Book Antiqua"/>
        </w:rPr>
        <w:t>It discovers sin within. “</w:t>
      </w:r>
      <w:r w:rsidRPr="0037302E">
        <w:rPr>
          <w:rFonts w:ascii="Book Antiqua" w:eastAsia="Times New Roman" w:hAnsi="Book Antiqua" w:cs="Times New Roman"/>
        </w:rPr>
        <w:t>discovering also the sinful pollutions of their natures, hearts, and lives, so as examining themselves thereby, they may come to further conviction of, humiliation for, and hatred against, sin;”</w:t>
      </w:r>
    </w:p>
    <w:p w:rsidR="00C0511B" w:rsidRPr="0037302E" w:rsidRDefault="00C0511B" w:rsidP="00C0511B">
      <w:pPr>
        <w:pStyle w:val="ListParagraph"/>
        <w:numPr>
          <w:ilvl w:val="5"/>
          <w:numId w:val="2"/>
        </w:numPr>
        <w:tabs>
          <w:tab w:val="clear" w:pos="6300"/>
        </w:tabs>
        <w:spacing w:after="0" w:line="240" w:lineRule="auto"/>
        <w:ind w:left="1440"/>
        <w:jc w:val="both"/>
        <w:rPr>
          <w:rFonts w:ascii="Book Antiqua" w:hAnsi="Book Antiqua"/>
        </w:rPr>
      </w:pPr>
      <w:r w:rsidRPr="0037302E">
        <w:rPr>
          <w:rFonts w:ascii="Book Antiqua" w:hAnsi="Book Antiqua"/>
        </w:rPr>
        <w:t>It points to a remedy without. “</w:t>
      </w:r>
      <w:r w:rsidRPr="0037302E">
        <w:rPr>
          <w:rFonts w:ascii="Book Antiqua" w:eastAsia="Times New Roman" w:hAnsi="Book Antiqua" w:cs="Times New Roman"/>
        </w:rPr>
        <w:t>together with a clearer sight of the need they have of Christ and the perfection of his obedience;”</w:t>
      </w:r>
    </w:p>
    <w:p w:rsidR="00C0511B" w:rsidRPr="0037302E" w:rsidRDefault="00C0511B" w:rsidP="00C0511B">
      <w:pPr>
        <w:pStyle w:val="ListParagraph"/>
        <w:numPr>
          <w:ilvl w:val="4"/>
          <w:numId w:val="2"/>
        </w:numPr>
        <w:tabs>
          <w:tab w:val="clear" w:pos="5400"/>
        </w:tabs>
        <w:spacing w:after="0" w:line="240" w:lineRule="auto"/>
        <w:ind w:left="1080"/>
        <w:jc w:val="both"/>
        <w:rPr>
          <w:rFonts w:ascii="Book Antiqua" w:hAnsi="Book Antiqua"/>
        </w:rPr>
      </w:pPr>
      <w:r w:rsidRPr="0037302E">
        <w:rPr>
          <w:rFonts w:ascii="Book Antiqua" w:hAnsi="Book Antiqua"/>
        </w:rPr>
        <w:t>Uses common to believers alone “</w:t>
      </w:r>
      <w:r w:rsidRPr="0037302E">
        <w:rPr>
          <w:rFonts w:ascii="Book Antiqua" w:eastAsia="Times New Roman" w:hAnsi="Book Antiqua" w:cs="Times New Roman"/>
        </w:rPr>
        <w:t>it is likewise of use to the regenerate . . .”</w:t>
      </w:r>
    </w:p>
    <w:p w:rsidR="00C0511B" w:rsidRPr="0037302E" w:rsidRDefault="00C0511B" w:rsidP="00C0511B">
      <w:pPr>
        <w:numPr>
          <w:ilvl w:val="4"/>
          <w:numId w:val="4"/>
        </w:numPr>
        <w:tabs>
          <w:tab w:val="clear" w:pos="1800"/>
        </w:tabs>
        <w:spacing w:after="0" w:line="240" w:lineRule="auto"/>
        <w:ind w:left="1440"/>
        <w:jc w:val="both"/>
        <w:rPr>
          <w:rFonts w:ascii="Book Antiqua" w:hAnsi="Book Antiqua"/>
        </w:rPr>
      </w:pPr>
      <w:r w:rsidRPr="0037302E">
        <w:rPr>
          <w:rFonts w:ascii="Book Antiqua" w:hAnsi="Book Antiqua"/>
        </w:rPr>
        <w:t>It restrains our corruptions by forbidding sin. “</w:t>
      </w:r>
      <w:r w:rsidRPr="0037302E">
        <w:rPr>
          <w:rFonts w:ascii="Book Antiqua" w:eastAsia="Times New Roman" w:hAnsi="Book Antiqua" w:cs="Times New Roman"/>
        </w:rPr>
        <w:t>to restrain their corruptions, in that it forbids sin;”</w:t>
      </w:r>
    </w:p>
    <w:p w:rsidR="00C0511B" w:rsidRPr="0037302E" w:rsidRDefault="00C0511B" w:rsidP="00C0511B">
      <w:pPr>
        <w:numPr>
          <w:ilvl w:val="4"/>
          <w:numId w:val="4"/>
        </w:numPr>
        <w:tabs>
          <w:tab w:val="clear" w:pos="1800"/>
        </w:tabs>
        <w:spacing w:after="0" w:line="240" w:lineRule="auto"/>
        <w:ind w:left="1440"/>
        <w:jc w:val="both"/>
        <w:rPr>
          <w:rFonts w:ascii="Book Antiqua" w:hAnsi="Book Antiqua"/>
        </w:rPr>
      </w:pPr>
      <w:r w:rsidRPr="0037302E">
        <w:rPr>
          <w:rFonts w:ascii="Book Antiqua" w:hAnsi="Book Antiqua"/>
        </w:rPr>
        <w:t>It shows what the sins of believers deserve and what afflictions are to be expected in this life by its threatenings. “</w:t>
      </w:r>
      <w:proofErr w:type="gramStart"/>
      <w:r w:rsidRPr="0037302E">
        <w:rPr>
          <w:rFonts w:ascii="Book Antiqua" w:eastAsia="Times New Roman" w:hAnsi="Book Antiqua" w:cs="Times New Roman"/>
        </w:rPr>
        <w:t>and</w:t>
      </w:r>
      <w:proofErr w:type="gramEnd"/>
      <w:r w:rsidRPr="0037302E">
        <w:rPr>
          <w:rFonts w:ascii="Book Antiqua" w:eastAsia="Times New Roman" w:hAnsi="Book Antiqua" w:cs="Times New Roman"/>
        </w:rPr>
        <w:t xml:space="preserve"> the threatenings of it serve to shew what even their sins deserve, and what afflictions in this life they may expect for them, although freed from the curse and unallayed rigour thereof.”</w:t>
      </w:r>
    </w:p>
    <w:p w:rsidR="00C0511B" w:rsidRPr="0037302E" w:rsidRDefault="00C0511B" w:rsidP="00C0511B">
      <w:pPr>
        <w:numPr>
          <w:ilvl w:val="4"/>
          <w:numId w:val="4"/>
        </w:numPr>
        <w:tabs>
          <w:tab w:val="clear" w:pos="1800"/>
        </w:tabs>
        <w:spacing w:after="0" w:line="240" w:lineRule="auto"/>
        <w:ind w:left="1440"/>
        <w:jc w:val="both"/>
        <w:rPr>
          <w:rFonts w:ascii="Book Antiqua" w:hAnsi="Book Antiqua"/>
        </w:rPr>
      </w:pPr>
      <w:r w:rsidRPr="0037302E">
        <w:rPr>
          <w:rFonts w:ascii="Book Antiqua" w:hAnsi="Book Antiqua"/>
        </w:rPr>
        <w:t>It shows believers God’s approbation of and our expected blessings upon obedience by its promises. “</w:t>
      </w:r>
      <w:r w:rsidRPr="0037302E">
        <w:rPr>
          <w:rFonts w:ascii="Book Antiqua" w:eastAsia="Times New Roman" w:hAnsi="Book Antiqua" w:cs="Times New Roman"/>
        </w:rPr>
        <w:t>The promises of it likewise shew them God’s approbation of obedience, and what blessings they may expect upon the performance thereof, though not as due to them by the law as a covenant of works; so as man’s doing good and refraining from evil, because the law encourageth to the one and deterreth from the other, is no evidence of his being under the law and not under grace.”</w:t>
      </w:r>
    </w:p>
    <w:p w:rsidR="00C0511B" w:rsidRPr="0037302E" w:rsidRDefault="00C0511B" w:rsidP="00C0511B">
      <w:pPr>
        <w:pStyle w:val="Heading7"/>
        <w:numPr>
          <w:ilvl w:val="3"/>
          <w:numId w:val="2"/>
        </w:numPr>
        <w:tabs>
          <w:tab w:val="clear" w:pos="4680"/>
        </w:tabs>
        <w:ind w:left="720"/>
        <w:jc w:val="both"/>
        <w:rPr>
          <w:rFonts w:ascii="Book Antiqua" w:hAnsi="Book Antiqua"/>
          <w:sz w:val="22"/>
          <w:szCs w:val="22"/>
        </w:rPr>
      </w:pPr>
      <w:r w:rsidRPr="0037302E">
        <w:rPr>
          <w:rFonts w:ascii="Book Antiqua" w:hAnsi="Book Antiqua"/>
          <w:sz w:val="22"/>
          <w:szCs w:val="22"/>
        </w:rPr>
        <w:t>The Compl</w:t>
      </w:r>
      <w:r>
        <w:rPr>
          <w:rFonts w:ascii="Book Antiqua" w:hAnsi="Book Antiqua"/>
          <w:sz w:val="22"/>
          <w:szCs w:val="22"/>
        </w:rPr>
        <w:t>e</w:t>
      </w:r>
      <w:r w:rsidRPr="0037302E">
        <w:rPr>
          <w:rFonts w:ascii="Book Antiqua" w:hAnsi="Book Antiqua"/>
          <w:sz w:val="22"/>
          <w:szCs w:val="22"/>
        </w:rPr>
        <w:t>mentary Nature of these Uses with the Gospel for Believers–2LCF 19.7</w:t>
      </w:r>
    </w:p>
    <w:p w:rsidR="00C0511B" w:rsidRPr="0037302E" w:rsidRDefault="00C0511B" w:rsidP="00C0511B">
      <w:pPr>
        <w:pStyle w:val="ListParagraph"/>
        <w:numPr>
          <w:ilvl w:val="4"/>
          <w:numId w:val="2"/>
        </w:numPr>
        <w:tabs>
          <w:tab w:val="clear" w:pos="5400"/>
        </w:tabs>
        <w:spacing w:after="0" w:line="240" w:lineRule="auto"/>
        <w:ind w:left="1080"/>
        <w:jc w:val="both"/>
        <w:rPr>
          <w:rFonts w:ascii="Book Antiqua" w:hAnsi="Book Antiqua"/>
        </w:rPr>
      </w:pPr>
      <w:r w:rsidRPr="0037302E">
        <w:rPr>
          <w:rFonts w:ascii="Book Antiqua" w:hAnsi="Book Antiqua"/>
        </w:rPr>
        <w:t>It</w:t>
      </w:r>
      <w:r>
        <w:rPr>
          <w:rFonts w:ascii="Book Antiqua" w:hAnsi="Book Antiqua"/>
        </w:rPr>
        <w:t>s</w:t>
      </w:r>
      <w:r w:rsidRPr="0037302E">
        <w:rPr>
          <w:rFonts w:ascii="Book Antiqua" w:hAnsi="Book Antiqua"/>
        </w:rPr>
        <w:t xml:space="preserve"> denial: “</w:t>
      </w:r>
      <w:r w:rsidRPr="0037302E">
        <w:rPr>
          <w:rFonts w:ascii="Book Antiqua" w:eastAsia="Times New Roman" w:hAnsi="Book Antiqua" w:cs="Times New Roman"/>
        </w:rPr>
        <w:t>Neither are the aforementioned uses of the law contrary to the grace of the Gospel,”</w:t>
      </w:r>
    </w:p>
    <w:p w:rsidR="00C0511B" w:rsidRPr="0037302E" w:rsidRDefault="00C0511B" w:rsidP="00C0511B">
      <w:pPr>
        <w:pStyle w:val="ListParagraph"/>
        <w:numPr>
          <w:ilvl w:val="4"/>
          <w:numId w:val="2"/>
        </w:numPr>
        <w:tabs>
          <w:tab w:val="clear" w:pos="5400"/>
        </w:tabs>
        <w:spacing w:after="0" w:line="240" w:lineRule="auto"/>
        <w:ind w:left="1080"/>
        <w:jc w:val="both"/>
        <w:rPr>
          <w:rFonts w:ascii="Book Antiqua" w:hAnsi="Book Antiqua"/>
        </w:rPr>
      </w:pPr>
      <w:r w:rsidRPr="0037302E">
        <w:rPr>
          <w:rFonts w:ascii="Book Antiqua" w:hAnsi="Book Antiqua"/>
        </w:rPr>
        <w:t xml:space="preserve">Its affirmation: </w:t>
      </w:r>
    </w:p>
    <w:p w:rsidR="00C0511B" w:rsidRPr="0037302E" w:rsidRDefault="00C0511B" w:rsidP="00C0511B">
      <w:pPr>
        <w:pStyle w:val="ListParagraph"/>
        <w:numPr>
          <w:ilvl w:val="5"/>
          <w:numId w:val="2"/>
        </w:numPr>
        <w:tabs>
          <w:tab w:val="clear" w:pos="6300"/>
        </w:tabs>
        <w:spacing w:after="0" w:line="240" w:lineRule="auto"/>
        <w:ind w:left="1440"/>
        <w:jc w:val="both"/>
        <w:rPr>
          <w:rFonts w:ascii="Book Antiqua" w:eastAsia="Times New Roman" w:hAnsi="Book Antiqua" w:cs="Times New Roman"/>
        </w:rPr>
      </w:pPr>
      <w:r w:rsidRPr="0037302E">
        <w:rPr>
          <w:rFonts w:ascii="Book Antiqua" w:eastAsia="Times New Roman" w:hAnsi="Book Antiqua" w:cs="Times New Roman"/>
        </w:rPr>
        <w:t>the essence of its affirmation: “but do sweetly comply with it”</w:t>
      </w:r>
    </w:p>
    <w:p w:rsidR="00C0511B" w:rsidRPr="0037302E" w:rsidRDefault="00C0511B" w:rsidP="00C0511B">
      <w:pPr>
        <w:pStyle w:val="ListParagraph"/>
        <w:numPr>
          <w:ilvl w:val="5"/>
          <w:numId w:val="2"/>
        </w:numPr>
        <w:tabs>
          <w:tab w:val="clear" w:pos="6300"/>
        </w:tabs>
        <w:spacing w:after="0" w:line="240" w:lineRule="auto"/>
        <w:ind w:left="1440"/>
        <w:jc w:val="both"/>
        <w:rPr>
          <w:rFonts w:ascii="Book Antiqua" w:eastAsia="Times New Roman" w:hAnsi="Book Antiqua" w:cs="Times New Roman"/>
        </w:rPr>
      </w:pPr>
      <w:r w:rsidRPr="0037302E">
        <w:rPr>
          <w:rFonts w:ascii="Book Antiqua" w:eastAsia="Times New Roman" w:hAnsi="Book Antiqua" w:cs="Times New Roman"/>
        </w:rPr>
        <w:t>the efficient cause of its affirmation:</w:t>
      </w:r>
    </w:p>
    <w:p w:rsidR="00C0511B" w:rsidRPr="0037302E" w:rsidRDefault="00C0511B" w:rsidP="00C0511B">
      <w:pPr>
        <w:pStyle w:val="ListParagraph"/>
        <w:numPr>
          <w:ilvl w:val="0"/>
          <w:numId w:val="5"/>
        </w:numPr>
        <w:spacing w:after="0" w:line="240" w:lineRule="auto"/>
        <w:ind w:left="1800"/>
        <w:jc w:val="both"/>
        <w:rPr>
          <w:rFonts w:ascii="Book Antiqua" w:eastAsia="Times New Roman" w:hAnsi="Book Antiqua" w:cs="Times New Roman"/>
        </w:rPr>
      </w:pPr>
      <w:r w:rsidRPr="0037302E">
        <w:rPr>
          <w:rFonts w:ascii="Book Antiqua" w:eastAsia="Times New Roman" w:hAnsi="Book Antiqua" w:cs="Times New Roman"/>
        </w:rPr>
        <w:t>his person: “the Spirit of Christ”</w:t>
      </w:r>
    </w:p>
    <w:p w:rsidR="00C0511B" w:rsidRPr="0037302E" w:rsidRDefault="00C0511B" w:rsidP="00C0511B">
      <w:pPr>
        <w:pStyle w:val="ListParagraph"/>
        <w:numPr>
          <w:ilvl w:val="0"/>
          <w:numId w:val="5"/>
        </w:numPr>
        <w:spacing w:after="0" w:line="240" w:lineRule="auto"/>
        <w:ind w:left="1800"/>
        <w:jc w:val="both"/>
        <w:rPr>
          <w:rFonts w:ascii="Book Antiqua" w:eastAsia="Times New Roman" w:hAnsi="Book Antiqua" w:cs="Times New Roman"/>
        </w:rPr>
      </w:pPr>
      <w:proofErr w:type="gramStart"/>
      <w:r w:rsidRPr="0037302E">
        <w:rPr>
          <w:rFonts w:ascii="Book Antiqua" w:eastAsia="Times New Roman" w:hAnsi="Book Antiqua" w:cs="Times New Roman"/>
        </w:rPr>
        <w:lastRenderedPageBreak/>
        <w:t>his</w:t>
      </w:r>
      <w:proofErr w:type="gramEnd"/>
      <w:r w:rsidRPr="0037302E">
        <w:rPr>
          <w:rFonts w:ascii="Book Antiqua" w:eastAsia="Times New Roman" w:hAnsi="Book Antiqua" w:cs="Times New Roman"/>
        </w:rPr>
        <w:t xml:space="preserve"> work: “subduing and enabling the will of man to do that freely and cheerfully which the will of God, revealed in the law, requireth to be done.”</w:t>
      </w:r>
    </w:p>
    <w:p w:rsidR="00C0511B" w:rsidRPr="0037302E" w:rsidRDefault="00C0511B" w:rsidP="00C0511B">
      <w:pPr>
        <w:spacing w:after="0" w:line="240" w:lineRule="auto"/>
        <w:jc w:val="both"/>
        <w:rPr>
          <w:rFonts w:ascii="Book Antiqua" w:eastAsia="Times New Roman" w:hAnsi="Book Antiqua" w:cs="Times New Roman"/>
        </w:rPr>
      </w:pPr>
    </w:p>
    <w:p w:rsidR="00C0511B" w:rsidRPr="0037302E" w:rsidRDefault="00C0511B" w:rsidP="00C0511B">
      <w:pPr>
        <w:spacing w:after="0" w:line="240" w:lineRule="auto"/>
        <w:jc w:val="both"/>
        <w:rPr>
          <w:rFonts w:ascii="Book Antiqua" w:eastAsia="Times New Roman" w:hAnsi="Book Antiqua" w:cs="Times New Roman"/>
        </w:rPr>
      </w:pPr>
      <w:r w:rsidRPr="0037302E">
        <w:rPr>
          <w:rFonts w:ascii="Book Antiqua" w:eastAsia="Times New Roman" w:hAnsi="Book Antiqua" w:cs="Times New Roman"/>
        </w:rPr>
        <w:t xml:space="preserve">Working our way through 2LCF 19 puts us into the context of a discussion which utilizes terms or concepts, either explicitly or implicitly, that must </w:t>
      </w:r>
      <w:r>
        <w:rPr>
          <w:rFonts w:ascii="Book Antiqua" w:eastAsia="Times New Roman" w:hAnsi="Book Antiqua" w:cs="Times New Roman"/>
        </w:rPr>
        <w:t>be understood to grasp</w:t>
      </w:r>
      <w:r w:rsidRPr="0037302E">
        <w:rPr>
          <w:rFonts w:ascii="Book Antiqua" w:eastAsia="Times New Roman" w:hAnsi="Book Antiqua" w:cs="Times New Roman"/>
        </w:rPr>
        <w:t xml:space="preserve"> what is and is not being asserted. This being the case, let us consider some of the terms and concepts utilized in 2LCF 19.</w:t>
      </w:r>
    </w:p>
    <w:p w:rsidR="00C0511B" w:rsidRPr="00FD54CA" w:rsidRDefault="00C0511B" w:rsidP="00C0511B">
      <w:pPr>
        <w:spacing w:after="0" w:line="240" w:lineRule="auto"/>
        <w:jc w:val="both"/>
        <w:rPr>
          <w:rFonts w:ascii="Book Antiqua" w:eastAsia="Times New Roman" w:hAnsi="Book Antiqua" w:cs="Times New Roman"/>
          <w:sz w:val="30"/>
          <w:szCs w:val="30"/>
        </w:rPr>
      </w:pPr>
    </w:p>
    <w:p w:rsidR="00C0511B" w:rsidRPr="00784D45" w:rsidRDefault="00C0511B" w:rsidP="00C0511B">
      <w:pPr>
        <w:spacing w:after="0" w:line="240" w:lineRule="auto"/>
        <w:jc w:val="center"/>
        <w:rPr>
          <w:rFonts w:ascii="Book Antiqua" w:eastAsia="Times New Roman" w:hAnsi="Book Antiqua" w:cs="Times New Roman"/>
          <w:b/>
          <w:sz w:val="26"/>
          <w:szCs w:val="26"/>
        </w:rPr>
      </w:pPr>
      <w:r w:rsidRPr="00784D45">
        <w:rPr>
          <w:rFonts w:ascii="Book Antiqua" w:eastAsia="Times New Roman" w:hAnsi="Book Antiqua" w:cs="Times New Roman"/>
          <w:b/>
          <w:sz w:val="26"/>
          <w:szCs w:val="26"/>
        </w:rPr>
        <w:t>Defining our Terms</w:t>
      </w:r>
    </w:p>
    <w:p w:rsidR="00C0511B" w:rsidRPr="0037302E" w:rsidRDefault="00C0511B" w:rsidP="00C0511B">
      <w:pPr>
        <w:spacing w:after="0" w:line="240" w:lineRule="auto"/>
        <w:jc w:val="both"/>
        <w:rPr>
          <w:rFonts w:ascii="Book Antiqua" w:eastAsia="Times New Roman" w:hAnsi="Book Antiqua" w:cs="Times New Roman"/>
        </w:rPr>
      </w:pPr>
    </w:p>
    <w:p w:rsidR="00C0511B" w:rsidRPr="0037302E" w:rsidRDefault="00C0511B" w:rsidP="00C0511B">
      <w:pPr>
        <w:spacing w:after="0" w:line="240" w:lineRule="auto"/>
        <w:jc w:val="both"/>
        <w:rPr>
          <w:rFonts w:ascii="Book Antiqua" w:hAnsi="Book Antiqua"/>
        </w:rPr>
      </w:pPr>
      <w:r>
        <w:rPr>
          <w:rFonts w:ascii="Book Antiqua" w:eastAsia="Times New Roman" w:hAnsi="Book Antiqua" w:cs="Times New Roman"/>
        </w:rPr>
        <w:t xml:space="preserve">Our Confession is the product of more than a century and a half of post-Reformation theological insight. It reflects the thinking of the movement sometimes called Protestant Orthodoxy. </w:t>
      </w:r>
      <w:r w:rsidRPr="0037302E">
        <w:rPr>
          <w:rFonts w:ascii="Book Antiqua" w:eastAsia="Times New Roman" w:hAnsi="Book Antiqua" w:cs="Times New Roman"/>
        </w:rPr>
        <w:t xml:space="preserve">Before we identify the uses of the law as contained in 2LCF 19.6 (i.e., the uses implied by 19.7), let us </w:t>
      </w:r>
      <w:r>
        <w:rPr>
          <w:rFonts w:ascii="Book Antiqua" w:eastAsia="Times New Roman" w:hAnsi="Book Antiqua" w:cs="Times New Roman"/>
        </w:rPr>
        <w:t>define some terms utilized in</w:t>
      </w:r>
      <w:r w:rsidRPr="0037302E">
        <w:rPr>
          <w:rFonts w:ascii="Book Antiqua" w:eastAsia="Times New Roman" w:hAnsi="Book Antiqua" w:cs="Times New Roman"/>
        </w:rPr>
        <w:t xml:space="preserve"> th</w:t>
      </w:r>
      <w:r>
        <w:rPr>
          <w:rFonts w:ascii="Book Antiqua" w:eastAsia="Times New Roman" w:hAnsi="Book Antiqua" w:cs="Times New Roman"/>
        </w:rPr>
        <w:t>is</w:t>
      </w:r>
      <w:r w:rsidRPr="0037302E">
        <w:rPr>
          <w:rFonts w:ascii="Book Antiqua" w:eastAsia="Times New Roman" w:hAnsi="Book Antiqua" w:cs="Times New Roman"/>
        </w:rPr>
        <w:t xml:space="preserve"> Reformed theological tradition</w:t>
      </w:r>
      <w:r>
        <w:rPr>
          <w:rFonts w:ascii="Book Antiqua" w:eastAsia="Times New Roman" w:hAnsi="Book Antiqua" w:cs="Times New Roman"/>
        </w:rPr>
        <w:t xml:space="preserve"> in its discussions on the law of God</w:t>
      </w:r>
      <w:r w:rsidRPr="0037302E">
        <w:rPr>
          <w:rFonts w:ascii="Book Antiqua" w:eastAsia="Times New Roman" w:hAnsi="Book Antiqua" w:cs="Times New Roman"/>
        </w:rPr>
        <w:t xml:space="preserve">. </w:t>
      </w:r>
      <w:r>
        <w:rPr>
          <w:rFonts w:ascii="Book Antiqua" w:eastAsia="Times New Roman" w:hAnsi="Book Antiqua" w:cs="Times New Roman"/>
        </w:rPr>
        <w:t>T</w:t>
      </w:r>
      <w:r w:rsidRPr="0037302E">
        <w:rPr>
          <w:rFonts w:ascii="Book Antiqua" w:eastAsia="Times New Roman" w:hAnsi="Book Antiqua" w:cs="Times New Roman"/>
        </w:rPr>
        <w:t>his will aid the current discussion by putting it into a recognized context of the conversation th</w:t>
      </w:r>
      <w:r>
        <w:rPr>
          <w:rFonts w:ascii="Book Antiqua" w:eastAsia="Times New Roman" w:hAnsi="Book Antiqua" w:cs="Times New Roman"/>
        </w:rPr>
        <w:t>at predates us and upon which what we confess is built</w:t>
      </w:r>
      <w:r w:rsidRPr="0037302E">
        <w:rPr>
          <w:rFonts w:ascii="Book Antiqua" w:eastAsia="Times New Roman" w:hAnsi="Book Antiqua" w:cs="Times New Roman"/>
        </w:rPr>
        <w:t>. It is proper to remind ourselves that d</w:t>
      </w:r>
      <w:r w:rsidRPr="0037302E">
        <w:rPr>
          <w:rFonts w:ascii="Book Antiqua" w:hAnsi="Book Antiqua"/>
        </w:rPr>
        <w:t xml:space="preserve">oing theology involves utilizing terms and phrases that have evolved over time </w:t>
      </w:r>
      <w:r>
        <w:rPr>
          <w:rFonts w:ascii="Book Antiqua" w:hAnsi="Book Antiqua"/>
        </w:rPr>
        <w:t>in an</w:t>
      </w:r>
      <w:r w:rsidRPr="0037302E">
        <w:rPr>
          <w:rFonts w:ascii="Book Antiqua" w:hAnsi="Book Antiqua"/>
        </w:rPr>
        <w:t xml:space="preserve"> attempt to encapsulate crucial biblical teachings. We use technical terms and phrases to accommodate wide swaths of truth, putting the</w:t>
      </w:r>
      <w:r>
        <w:rPr>
          <w:rFonts w:ascii="Book Antiqua" w:hAnsi="Book Antiqua"/>
        </w:rPr>
        <w:t>se truths</w:t>
      </w:r>
      <w:r w:rsidRPr="0037302E">
        <w:rPr>
          <w:rFonts w:ascii="Book Antiqua" w:hAnsi="Book Antiqua"/>
        </w:rPr>
        <w:t xml:space="preserve"> into brief, theological short-hand. Acquainting ourselves with the theological nomenclature typically utilized in discussions of the law of God will help us when coming to the specific confessional assertions about it.</w:t>
      </w:r>
    </w:p>
    <w:p w:rsidR="00C0511B" w:rsidRPr="00FD54CA" w:rsidRDefault="00C0511B" w:rsidP="00C0511B">
      <w:pPr>
        <w:spacing w:after="0" w:line="240" w:lineRule="auto"/>
        <w:jc w:val="both"/>
        <w:rPr>
          <w:rFonts w:ascii="Book Antiqua" w:eastAsia="Times New Roman" w:hAnsi="Book Antiqua" w:cs="Times New Roman"/>
          <w:sz w:val="30"/>
          <w:szCs w:val="30"/>
        </w:rPr>
      </w:pPr>
    </w:p>
    <w:p w:rsidR="00C0511B" w:rsidRPr="0037302E" w:rsidRDefault="00C0511B" w:rsidP="00C0511B">
      <w:pPr>
        <w:spacing w:after="0" w:line="240" w:lineRule="auto"/>
        <w:jc w:val="both"/>
        <w:rPr>
          <w:rFonts w:ascii="Book Antiqua" w:eastAsia="Times New Roman" w:hAnsi="Book Antiqua" w:cs="Times New Roman"/>
          <w:b/>
          <w:i/>
        </w:rPr>
      </w:pPr>
      <w:r w:rsidRPr="0037302E">
        <w:rPr>
          <w:rFonts w:ascii="Book Antiqua" w:eastAsia="Times New Roman" w:hAnsi="Book Antiqua" w:cs="Times New Roman"/>
          <w:b/>
          <w:i/>
        </w:rPr>
        <w:t>Natural Law</w:t>
      </w:r>
    </w:p>
    <w:p w:rsidR="00C0511B" w:rsidRPr="0037302E" w:rsidRDefault="00C0511B" w:rsidP="00C0511B">
      <w:pPr>
        <w:spacing w:after="0" w:line="240" w:lineRule="auto"/>
        <w:jc w:val="both"/>
        <w:rPr>
          <w:rFonts w:ascii="Book Antiqua" w:eastAsia="Times New Roman" w:hAnsi="Book Antiqua" w:cs="Times New Roman"/>
        </w:rPr>
      </w:pPr>
    </w:p>
    <w:p w:rsidR="00C0511B" w:rsidRPr="0037302E" w:rsidRDefault="00C0511B" w:rsidP="00C0511B">
      <w:pPr>
        <w:spacing w:after="0" w:line="240" w:lineRule="auto"/>
        <w:jc w:val="both"/>
        <w:rPr>
          <w:rFonts w:ascii="Book Antiqua" w:eastAsia="Times New Roman" w:hAnsi="Book Antiqua" w:cs="Times New Roman"/>
        </w:rPr>
      </w:pPr>
      <w:r w:rsidRPr="0037302E">
        <w:rPr>
          <w:rFonts w:ascii="Book Antiqua" w:eastAsia="Times New Roman" w:hAnsi="Book Antiqua" w:cs="Times New Roman"/>
        </w:rPr>
        <w:t>Here is Richard Muller’s entry for natural law:</w:t>
      </w:r>
    </w:p>
    <w:p w:rsidR="00C0511B" w:rsidRPr="0037302E" w:rsidRDefault="00C0511B" w:rsidP="00C0511B">
      <w:pPr>
        <w:spacing w:after="0" w:line="240" w:lineRule="auto"/>
        <w:jc w:val="both"/>
        <w:rPr>
          <w:rFonts w:ascii="Book Antiqua" w:eastAsia="Times New Roman" w:hAnsi="Book Antiqua" w:cs="Times New Roman"/>
        </w:rPr>
      </w:pPr>
    </w:p>
    <w:p w:rsidR="00C0511B" w:rsidRPr="0037302E" w:rsidRDefault="00C0511B" w:rsidP="00C0511B">
      <w:pPr>
        <w:spacing w:after="0" w:line="240" w:lineRule="auto"/>
        <w:ind w:left="360" w:right="360"/>
        <w:jc w:val="both"/>
        <w:rPr>
          <w:rFonts w:ascii="Book Antiqua" w:hAnsi="Book Antiqua"/>
        </w:rPr>
      </w:pPr>
      <w:r w:rsidRPr="0037302E">
        <w:rPr>
          <w:rFonts w:ascii="Book Antiqua" w:hAnsi="Book Antiqua"/>
          <w:b/>
        </w:rPr>
        <w:t>lex naturalis</w:t>
      </w:r>
      <w:r w:rsidRPr="0037302E">
        <w:rPr>
          <w:rFonts w:ascii="Book Antiqua" w:hAnsi="Book Antiqua"/>
        </w:rPr>
        <w:t xml:space="preserve">: </w:t>
      </w:r>
      <w:r w:rsidRPr="0037302E">
        <w:rPr>
          <w:rFonts w:ascii="Book Antiqua" w:hAnsi="Book Antiqua"/>
          <w:i/>
        </w:rPr>
        <w:t>natural law</w:t>
      </w:r>
      <w:r w:rsidRPr="0037302E">
        <w:rPr>
          <w:rFonts w:ascii="Book Antiqua" w:hAnsi="Book Antiqua"/>
        </w:rPr>
        <w:t xml:space="preserve">; also </w:t>
      </w:r>
      <w:r w:rsidRPr="0037302E">
        <w:rPr>
          <w:rFonts w:ascii="Book Antiqua" w:hAnsi="Book Antiqua"/>
          <w:b/>
        </w:rPr>
        <w:t>lex naturae</w:t>
      </w:r>
      <w:r w:rsidRPr="0037302E">
        <w:rPr>
          <w:rFonts w:ascii="Book Antiqua" w:hAnsi="Book Antiqua"/>
        </w:rPr>
        <w:t xml:space="preserve">; </w:t>
      </w:r>
      <w:r w:rsidRPr="0037302E">
        <w:rPr>
          <w:rFonts w:ascii="Book Antiqua" w:hAnsi="Book Antiqua"/>
          <w:i/>
        </w:rPr>
        <w:t>law of nature</w:t>
      </w:r>
      <w:r w:rsidRPr="0037302E">
        <w:rPr>
          <w:rFonts w:ascii="Book Antiqua" w:hAnsi="Book Antiqua"/>
        </w:rPr>
        <w:t xml:space="preserve">; the universal moral law either impressed by God upon the mind of all people or immediately discerned by the reason in its encounter with the order of nature. The natural law was therefore available even to those pagans who did not have the advantage of the Sinaitic revelation and the </w:t>
      </w:r>
      <w:r w:rsidRPr="0037302E">
        <w:rPr>
          <w:rFonts w:ascii="Book Antiqua" w:hAnsi="Book Antiqua"/>
          <w:i/>
        </w:rPr>
        <w:t>lex Mosaica</w:t>
      </w:r>
      <w:r w:rsidRPr="0037302E">
        <w:rPr>
          <w:rFonts w:ascii="Book Antiqua" w:hAnsi="Book Antiqua"/>
        </w:rPr>
        <w:t xml:space="preserve"> [i.e., Mosaic </w:t>
      </w:r>
      <w:proofErr w:type="gramStart"/>
      <w:r w:rsidRPr="0037302E">
        <w:rPr>
          <w:rFonts w:ascii="Book Antiqua" w:hAnsi="Book Antiqua"/>
        </w:rPr>
        <w:t>law</w:t>
      </w:r>
      <w:proofErr w:type="gramEnd"/>
      <w:r w:rsidRPr="0037302E">
        <w:rPr>
          <w:rFonts w:ascii="Book Antiqua" w:hAnsi="Book Antiqua"/>
        </w:rPr>
        <w:t xml:space="preserve">, which includes the natural law, though in a different form] with the result that they were left without excuse in their sins… The scholastics argue the identity of the </w:t>
      </w:r>
      <w:r w:rsidRPr="0037302E">
        <w:rPr>
          <w:rFonts w:ascii="Book Antiqua" w:hAnsi="Book Antiqua"/>
          <w:i/>
        </w:rPr>
        <w:t>lex naturalis</w:t>
      </w:r>
      <w:r w:rsidRPr="0037302E">
        <w:rPr>
          <w:rFonts w:ascii="Book Antiqua" w:hAnsi="Book Antiqua"/>
        </w:rPr>
        <w:t xml:space="preserve"> with the </w:t>
      </w:r>
      <w:r w:rsidRPr="0037302E">
        <w:rPr>
          <w:rFonts w:ascii="Book Antiqua" w:hAnsi="Book Antiqua"/>
          <w:i/>
        </w:rPr>
        <w:t>lex Mosaica</w:t>
      </w:r>
      <w:r>
        <w:rPr>
          <w:rFonts w:ascii="Book Antiqua" w:hAnsi="Book Antiqua"/>
        </w:rPr>
        <w:t xml:space="preserve"> . . . </w:t>
      </w:r>
      <w:r w:rsidRPr="0037302E">
        <w:rPr>
          <w:rFonts w:ascii="Book Antiqua" w:hAnsi="Book Antiqua"/>
        </w:rPr>
        <w:t xml:space="preserve">according to </w:t>
      </w:r>
      <w:r>
        <w:rPr>
          <w:rFonts w:ascii="Book Antiqua" w:hAnsi="Book Antiqua"/>
        </w:rPr>
        <w:t xml:space="preserve">substance, and distinguish them . . . </w:t>
      </w:r>
      <w:r w:rsidRPr="0037302E">
        <w:rPr>
          <w:rFonts w:ascii="Book Antiqua" w:hAnsi="Book Antiqua"/>
        </w:rPr>
        <w:t xml:space="preserve">according to form. The </w:t>
      </w:r>
      <w:r w:rsidRPr="0037302E">
        <w:rPr>
          <w:rFonts w:ascii="Book Antiqua" w:hAnsi="Book Antiqua"/>
          <w:i/>
        </w:rPr>
        <w:t>lex naturalis</w:t>
      </w:r>
      <w:r w:rsidRPr="0037302E">
        <w:rPr>
          <w:rFonts w:ascii="Book Antiqua" w:hAnsi="Book Antiqua"/>
        </w:rPr>
        <w:t xml:space="preserve"> is inward, written on the heart and therefore obscure [due to sin], whereas the </w:t>
      </w:r>
      <w:r w:rsidRPr="0037302E">
        <w:rPr>
          <w:rFonts w:ascii="Book Antiqua" w:hAnsi="Book Antiqua"/>
          <w:i/>
        </w:rPr>
        <w:t>lex Mosacia</w:t>
      </w:r>
      <w:r w:rsidRPr="0037302E">
        <w:rPr>
          <w:rFonts w:ascii="Book Antiqua" w:hAnsi="Book Antiqua"/>
        </w:rPr>
        <w:t xml:space="preserve"> is revealed externally and written on tablets and thus of greater clarity.</w:t>
      </w:r>
      <w:r w:rsidRPr="0037302E">
        <w:rPr>
          <w:rStyle w:val="FootnoteReference"/>
          <w:rFonts w:ascii="Book Antiqua" w:hAnsi="Book Antiqua"/>
        </w:rPr>
        <w:footnoteReference w:id="3"/>
      </w:r>
    </w:p>
    <w:p w:rsidR="00C0511B" w:rsidRPr="0037302E" w:rsidRDefault="00C0511B" w:rsidP="00C0511B">
      <w:pPr>
        <w:spacing w:after="0" w:line="240" w:lineRule="auto"/>
        <w:jc w:val="both"/>
        <w:rPr>
          <w:rFonts w:ascii="Book Antiqua" w:hAnsi="Book Antiqua"/>
        </w:rPr>
      </w:pPr>
    </w:p>
    <w:p w:rsidR="00C0511B" w:rsidRPr="0037302E" w:rsidRDefault="00C0511B" w:rsidP="00C0511B">
      <w:pPr>
        <w:spacing w:after="0" w:line="240" w:lineRule="auto"/>
        <w:jc w:val="both"/>
        <w:rPr>
          <w:rFonts w:ascii="Book Antiqua" w:hAnsi="Book Antiqua"/>
        </w:rPr>
      </w:pPr>
      <w:r w:rsidRPr="0037302E">
        <w:rPr>
          <w:rFonts w:ascii="Book Antiqua" w:hAnsi="Book Antiqua"/>
        </w:rPr>
        <w:t>The natural law is universal because God is the Crea</w:t>
      </w:r>
      <w:r>
        <w:rPr>
          <w:rFonts w:ascii="Book Antiqua" w:hAnsi="Book Antiqua"/>
        </w:rPr>
        <w:t>tor of all men. Natural law is</w:t>
      </w:r>
      <w:r w:rsidRPr="0037302E">
        <w:rPr>
          <w:rFonts w:ascii="Book Antiqua" w:hAnsi="Book Antiqua"/>
        </w:rPr>
        <w:t xml:space="preserve"> “founded on the natural right of God . . . (being founded on the very holiness and wisdom of God).”</w:t>
      </w:r>
      <w:r w:rsidRPr="0037302E">
        <w:rPr>
          <w:rStyle w:val="FootnoteReference"/>
          <w:rFonts w:ascii="Book Antiqua" w:hAnsi="Book Antiqua"/>
        </w:rPr>
        <w:footnoteReference w:id="4"/>
      </w:r>
      <w:r w:rsidRPr="0037302E">
        <w:rPr>
          <w:rFonts w:ascii="Book Antiqua" w:hAnsi="Book Antiqua"/>
        </w:rPr>
        <w:t xml:space="preserve"> </w:t>
      </w:r>
      <w:r>
        <w:rPr>
          <w:rFonts w:ascii="Book Antiqua" w:hAnsi="Book Antiqua"/>
        </w:rPr>
        <w:t>These laws</w:t>
      </w:r>
      <w:r w:rsidRPr="0037302E">
        <w:rPr>
          <w:rFonts w:ascii="Book Antiqua" w:hAnsi="Book Antiqua"/>
        </w:rPr>
        <w:t xml:space="preserve"> are “just and good antecedently to the command of God . . .”</w:t>
      </w:r>
      <w:r w:rsidRPr="0037302E">
        <w:rPr>
          <w:rStyle w:val="FootnoteReference"/>
          <w:rFonts w:ascii="Book Antiqua" w:hAnsi="Book Antiqua"/>
        </w:rPr>
        <w:footnoteReference w:id="5"/>
      </w:r>
      <w:r w:rsidRPr="0037302E">
        <w:rPr>
          <w:rFonts w:ascii="Book Antiqua" w:hAnsi="Book Antiqua"/>
        </w:rPr>
        <w:t xml:space="preserve"> They are commanded because just and </w:t>
      </w:r>
      <w:proofErr w:type="gramStart"/>
      <w:r w:rsidRPr="0037302E">
        <w:rPr>
          <w:rFonts w:ascii="Book Antiqua" w:hAnsi="Book Antiqua"/>
        </w:rPr>
        <w:t>good</w:t>
      </w:r>
      <w:proofErr w:type="gramEnd"/>
      <w:r w:rsidRPr="0037302E">
        <w:rPr>
          <w:rFonts w:ascii="Book Antiqua" w:hAnsi="Book Antiqua"/>
        </w:rPr>
        <w:t xml:space="preserve"> in light of who God is and wha</w:t>
      </w:r>
      <w:r>
        <w:rPr>
          <w:rFonts w:ascii="Book Antiqua" w:hAnsi="Book Antiqua"/>
        </w:rPr>
        <w:t>t man is as His image bearer. Natural law</w:t>
      </w:r>
      <w:r w:rsidRPr="0037302E">
        <w:rPr>
          <w:rFonts w:ascii="Book Antiqua" w:hAnsi="Book Antiqua"/>
        </w:rPr>
        <w:t xml:space="preserve"> </w:t>
      </w:r>
      <w:r w:rsidRPr="0037302E">
        <w:rPr>
          <w:rFonts w:ascii="Book Antiqua" w:hAnsi="Book Antiqua"/>
        </w:rPr>
        <w:lastRenderedPageBreak/>
        <w:t>is “the practical rule of moral duties to which men are bound by nature.”</w:t>
      </w:r>
      <w:r w:rsidRPr="0037302E">
        <w:rPr>
          <w:rStyle w:val="FootnoteReference"/>
          <w:rFonts w:ascii="Book Antiqua" w:hAnsi="Book Antiqua"/>
        </w:rPr>
        <w:footnoteReference w:id="6"/>
      </w:r>
      <w:r w:rsidRPr="0037302E">
        <w:rPr>
          <w:rFonts w:ascii="Book Antiqua" w:hAnsi="Book Antiqua"/>
        </w:rPr>
        <w:t xml:space="preserve"> Due to man’s created constitution, this law is written on his heart (2 LCF 4.2-3), though now obscured by sin (2LCF 6). Natural law is not acquired by tradition or formal instruction. This law was, however, promulgated (i.e., formally published) on Sinai, which differs from the natural law in form though identical to it in sub</w:t>
      </w:r>
      <w:r>
        <w:rPr>
          <w:rFonts w:ascii="Book Antiqua" w:hAnsi="Book Antiqua"/>
        </w:rPr>
        <w:t>stance. Protestant Orthodoxy</w:t>
      </w:r>
      <w:r w:rsidRPr="0037302E">
        <w:rPr>
          <w:rFonts w:ascii="Book Antiqua" w:hAnsi="Book Antiqua"/>
        </w:rPr>
        <w:t xml:space="preserve"> taught that the Decalogue summarily contains the moral law and is the inscripturated form of the natural law, as to its </w:t>
      </w:r>
      <w:r w:rsidRPr="0037302E">
        <w:rPr>
          <w:rFonts w:ascii="Book Antiqua" w:hAnsi="Book Antiqua"/>
          <w:iCs/>
        </w:rPr>
        <w:t>substance</w:t>
      </w:r>
      <w:r w:rsidRPr="0037302E">
        <w:rPr>
          <w:rFonts w:ascii="Book Antiqua" w:hAnsi="Book Antiqua"/>
        </w:rPr>
        <w:t xml:space="preserve">. A distinction was made between </w:t>
      </w:r>
      <w:r w:rsidRPr="0037302E">
        <w:rPr>
          <w:rFonts w:ascii="Book Antiqua" w:hAnsi="Book Antiqua"/>
          <w:i/>
          <w:iCs/>
        </w:rPr>
        <w:t>substance</w:t>
      </w:r>
      <w:r w:rsidRPr="0037302E">
        <w:rPr>
          <w:rFonts w:ascii="Book Antiqua" w:hAnsi="Book Antiqua"/>
        </w:rPr>
        <w:t xml:space="preserve"> and </w:t>
      </w:r>
      <w:r w:rsidRPr="0037302E">
        <w:rPr>
          <w:rFonts w:ascii="Book Antiqua" w:hAnsi="Book Antiqua"/>
          <w:i/>
          <w:iCs/>
        </w:rPr>
        <w:t>form</w:t>
      </w:r>
      <w:r w:rsidRPr="0037302E">
        <w:rPr>
          <w:rFonts w:ascii="Book Antiqua" w:hAnsi="Book Antiqua"/>
        </w:rPr>
        <w:t xml:space="preserve">. </w:t>
      </w:r>
      <w:r w:rsidRPr="0037302E">
        <w:rPr>
          <w:rFonts w:ascii="Book Antiqua" w:hAnsi="Book Antiqua"/>
          <w:i/>
          <w:iCs/>
        </w:rPr>
        <w:t>Substance</w:t>
      </w:r>
      <w:r w:rsidRPr="0037302E">
        <w:rPr>
          <w:rFonts w:ascii="Book Antiqua" w:hAnsi="Book Antiqua"/>
        </w:rPr>
        <w:t xml:space="preserve"> is one; </w:t>
      </w:r>
      <w:r w:rsidRPr="0037302E">
        <w:rPr>
          <w:rFonts w:ascii="Book Antiqua" w:hAnsi="Book Antiqua"/>
          <w:i/>
          <w:iCs/>
        </w:rPr>
        <w:t>form</w:t>
      </w:r>
      <w:r w:rsidRPr="0037302E">
        <w:rPr>
          <w:rFonts w:ascii="Book Antiqua" w:hAnsi="Book Antiqua"/>
        </w:rPr>
        <w:t xml:space="preserve"> (and function) may vary. For example, when the Westminster Larger Catechism Q.98. says, “The moral law is summarily comprehended in the ten commandments,” it refers to the fact that the </w:t>
      </w:r>
      <w:r w:rsidRPr="0037302E">
        <w:rPr>
          <w:rFonts w:ascii="Book Antiqua" w:hAnsi="Book Antiqua"/>
          <w:i/>
          <w:iCs/>
        </w:rPr>
        <w:t>substance</w:t>
      </w:r>
      <w:r w:rsidRPr="0037302E">
        <w:rPr>
          <w:rFonts w:ascii="Book Antiqua" w:hAnsi="Book Antiqua"/>
        </w:rPr>
        <w:t xml:space="preserve"> (i.e., the under</w:t>
      </w:r>
      <w:r>
        <w:rPr>
          <w:rFonts w:ascii="Book Antiqua" w:hAnsi="Book Antiqua"/>
        </w:rPr>
        <w:t>lying substance</w:t>
      </w:r>
      <w:r w:rsidRPr="0037302E">
        <w:rPr>
          <w:rFonts w:ascii="Book Antiqua" w:hAnsi="Book Antiqua"/>
        </w:rPr>
        <w:t xml:space="preserve">) of the moral law is assumed in the propositions of the Decalogue as contained in Exodus 20 and Deuteronomy 5. The </w:t>
      </w:r>
      <w:r w:rsidRPr="0037302E">
        <w:rPr>
          <w:rFonts w:ascii="Book Antiqua" w:hAnsi="Book Antiqua"/>
          <w:i/>
          <w:iCs/>
        </w:rPr>
        <w:t>form</w:t>
      </w:r>
      <w:r w:rsidRPr="0037302E">
        <w:rPr>
          <w:rFonts w:ascii="Book Antiqua" w:hAnsi="Book Antiqua"/>
        </w:rPr>
        <w:t xml:space="preserve"> (and function) fits the redemptive-historical circumstances in which it was given. The </w:t>
      </w:r>
      <w:proofErr w:type="gramStart"/>
      <w:r w:rsidRPr="0037302E">
        <w:rPr>
          <w:rFonts w:ascii="Book Antiqua" w:hAnsi="Book Antiqua"/>
          <w:i/>
          <w:iCs/>
        </w:rPr>
        <w:t>substance</w:t>
      </w:r>
      <w:r w:rsidRPr="0037302E">
        <w:rPr>
          <w:rFonts w:ascii="Book Antiqua" w:hAnsi="Book Antiqua"/>
        </w:rPr>
        <w:t>, or underlying principles, are</w:t>
      </w:r>
      <w:proofErr w:type="gramEnd"/>
      <w:r w:rsidRPr="0037302E">
        <w:rPr>
          <w:rFonts w:ascii="Book Antiqua" w:hAnsi="Book Antiqua"/>
        </w:rPr>
        <w:t xml:space="preserve"> always relevant and applicable to man because he is created in the image of God. The application may shift based on redemptive-historical changes, such as the inaugurat</w:t>
      </w:r>
      <w:r>
        <w:rPr>
          <w:rFonts w:ascii="Book Antiqua" w:hAnsi="Book Antiqua"/>
        </w:rPr>
        <w:t>ion of the new covenant, but the</w:t>
      </w:r>
      <w:r w:rsidRPr="0037302E">
        <w:rPr>
          <w:rFonts w:ascii="Book Antiqua" w:hAnsi="Book Antiqua"/>
        </w:rPr>
        <w:t xml:space="preserve"> </w:t>
      </w:r>
      <w:r w:rsidRPr="0037302E">
        <w:rPr>
          <w:rFonts w:ascii="Book Antiqua" w:hAnsi="Book Antiqua"/>
          <w:i/>
          <w:iCs/>
        </w:rPr>
        <w:t xml:space="preserve">substance </w:t>
      </w:r>
      <w:r w:rsidRPr="0037302E">
        <w:rPr>
          <w:rFonts w:ascii="Book Antiqua" w:hAnsi="Book Antiqua"/>
        </w:rPr>
        <w:t>and utility never changes. For example, the application of the second commandment under the inaugurated new covenant is different from its application under the Mosaic covenant but its substance is the same. We must worship God as God has revealed, and since the fall into sin</w:t>
      </w:r>
      <w:r>
        <w:rPr>
          <w:rFonts w:ascii="Book Antiqua" w:hAnsi="Book Antiqua"/>
        </w:rPr>
        <w:t>,</w:t>
      </w:r>
      <w:r w:rsidRPr="0037302E">
        <w:rPr>
          <w:rFonts w:ascii="Book Antiqua" w:hAnsi="Book Antiqua"/>
        </w:rPr>
        <w:t xml:space="preserve"> through a mediator and in accord with His revealed will.</w:t>
      </w:r>
    </w:p>
    <w:p w:rsidR="00C0511B" w:rsidRPr="00FD54CA" w:rsidRDefault="00C0511B" w:rsidP="00C0511B">
      <w:pPr>
        <w:spacing w:after="0" w:line="240" w:lineRule="auto"/>
        <w:jc w:val="both"/>
        <w:rPr>
          <w:rFonts w:ascii="Book Antiqua" w:hAnsi="Book Antiqua"/>
          <w:sz w:val="30"/>
          <w:szCs w:val="30"/>
        </w:rPr>
      </w:pPr>
    </w:p>
    <w:p w:rsidR="00C0511B" w:rsidRPr="0037302E" w:rsidRDefault="00C0511B" w:rsidP="00C0511B">
      <w:pPr>
        <w:spacing w:after="0" w:line="240" w:lineRule="auto"/>
        <w:jc w:val="both"/>
        <w:rPr>
          <w:rFonts w:ascii="Book Antiqua" w:eastAsia="Times New Roman" w:hAnsi="Book Antiqua" w:cs="Times New Roman"/>
          <w:b/>
          <w:i/>
        </w:rPr>
      </w:pPr>
      <w:r w:rsidRPr="0037302E">
        <w:rPr>
          <w:rFonts w:ascii="Book Antiqua" w:hAnsi="Book Antiqua"/>
          <w:b/>
          <w:i/>
        </w:rPr>
        <w:t>Moral Law</w:t>
      </w:r>
    </w:p>
    <w:p w:rsidR="00C0511B" w:rsidRPr="0037302E" w:rsidRDefault="00C0511B" w:rsidP="00C0511B">
      <w:pPr>
        <w:spacing w:after="0" w:line="240" w:lineRule="auto"/>
        <w:jc w:val="both"/>
        <w:rPr>
          <w:rFonts w:ascii="Book Antiqua" w:eastAsia="Times New Roman" w:hAnsi="Book Antiqua" w:cs="Times New Roman"/>
        </w:rPr>
      </w:pPr>
    </w:p>
    <w:p w:rsidR="00C0511B" w:rsidRPr="0037302E" w:rsidRDefault="00C0511B" w:rsidP="00C0511B">
      <w:pPr>
        <w:autoSpaceDE w:val="0"/>
        <w:autoSpaceDN w:val="0"/>
        <w:spacing w:after="0" w:line="240" w:lineRule="auto"/>
        <w:jc w:val="both"/>
        <w:rPr>
          <w:rFonts w:ascii="Book Antiqua" w:eastAsia="Times New Roman" w:hAnsi="Book Antiqua" w:cs="Times New Roman"/>
          <w:color w:val="000000"/>
        </w:rPr>
      </w:pPr>
      <w:r w:rsidRPr="0037302E">
        <w:rPr>
          <w:rFonts w:ascii="Book Antiqua" w:eastAsia="Times New Roman" w:hAnsi="Book Antiqua" w:cs="Times New Roman"/>
          <w:color w:val="000000"/>
        </w:rPr>
        <w:t xml:space="preserve">Muller defines moral law in Protestant </w:t>
      </w:r>
      <w:r>
        <w:rPr>
          <w:rFonts w:ascii="Book Antiqua" w:eastAsia="Times New Roman" w:hAnsi="Book Antiqua" w:cs="Times New Roman"/>
          <w:color w:val="000000"/>
        </w:rPr>
        <w:t xml:space="preserve">Orthodox </w:t>
      </w:r>
      <w:r w:rsidRPr="0037302E">
        <w:rPr>
          <w:rFonts w:ascii="Book Antiqua" w:eastAsia="Times New Roman" w:hAnsi="Book Antiqua" w:cs="Times New Roman"/>
          <w:color w:val="000000"/>
        </w:rPr>
        <w:t>thought as follows:</w:t>
      </w:r>
    </w:p>
    <w:p w:rsidR="00C0511B" w:rsidRPr="0037302E" w:rsidRDefault="00C0511B" w:rsidP="00C0511B">
      <w:pPr>
        <w:autoSpaceDE w:val="0"/>
        <w:autoSpaceDN w:val="0"/>
        <w:spacing w:after="0" w:line="240" w:lineRule="auto"/>
        <w:jc w:val="both"/>
        <w:rPr>
          <w:rFonts w:ascii="Book Antiqua" w:eastAsia="Times New Roman" w:hAnsi="Book Antiqua" w:cs="Times New Roman"/>
          <w:b/>
          <w:bCs/>
          <w:color w:val="000000"/>
        </w:rPr>
      </w:pPr>
    </w:p>
    <w:p w:rsidR="00C0511B" w:rsidRPr="0037302E" w:rsidRDefault="00C0511B" w:rsidP="00C0511B">
      <w:pPr>
        <w:autoSpaceDE w:val="0"/>
        <w:autoSpaceDN w:val="0"/>
        <w:spacing w:after="0" w:line="240" w:lineRule="auto"/>
        <w:ind w:left="360" w:right="360"/>
        <w:jc w:val="both"/>
        <w:rPr>
          <w:rFonts w:ascii="Book Antiqua" w:eastAsia="Times New Roman" w:hAnsi="Book Antiqua" w:cs="Times New Roman"/>
          <w:color w:val="000000"/>
        </w:rPr>
      </w:pPr>
      <w:r w:rsidRPr="0037302E">
        <w:rPr>
          <w:rFonts w:ascii="Book Antiqua" w:eastAsia="Times New Roman" w:hAnsi="Book Antiqua" w:cs="Times New Roman"/>
          <w:color w:val="000000"/>
        </w:rPr>
        <w:t xml:space="preserve">[S]pecifically and predominantly, the </w:t>
      </w:r>
      <w:r w:rsidRPr="0037302E">
        <w:rPr>
          <w:rFonts w:ascii="Book Antiqua" w:eastAsia="Times New Roman" w:hAnsi="Book Antiqua" w:cs="Times New Roman"/>
          <w:i/>
          <w:iCs/>
          <w:color w:val="000000"/>
        </w:rPr>
        <w:t>Decalogus</w:t>
      </w:r>
      <w:r w:rsidRPr="0037302E">
        <w:rPr>
          <w:rFonts w:ascii="Book Antiqua" w:eastAsia="Times New Roman" w:hAnsi="Book Antiqua" w:cs="Times New Roman"/>
          <w:color w:val="000000"/>
        </w:rPr>
        <w:t xml:space="preserve">, or Ten Commandments; also called the </w:t>
      </w:r>
      <w:r w:rsidRPr="0037302E">
        <w:rPr>
          <w:rFonts w:ascii="Book Antiqua" w:eastAsia="Times New Roman" w:hAnsi="Book Antiqua" w:cs="Times New Roman"/>
          <w:i/>
          <w:iCs/>
          <w:color w:val="000000"/>
        </w:rPr>
        <w:t>lex Mosaica</w:t>
      </w:r>
      <w:r w:rsidRPr="0037302E">
        <w:rPr>
          <w:rFonts w:ascii="Book Antiqua" w:eastAsia="Times New Roman" w:hAnsi="Book Antiqua" w:cs="Times New Roman"/>
          <w:color w:val="000000"/>
        </w:rPr>
        <w:t xml:space="preserve"> . . ., as distinct from the </w:t>
      </w:r>
      <w:r w:rsidRPr="0037302E">
        <w:rPr>
          <w:rFonts w:ascii="Book Antiqua" w:eastAsia="Times New Roman" w:hAnsi="Book Antiqua" w:cs="Times New Roman"/>
          <w:i/>
          <w:iCs/>
          <w:color w:val="000000"/>
        </w:rPr>
        <w:t>lex ceremonialis</w:t>
      </w:r>
      <w:r w:rsidRPr="0037302E">
        <w:rPr>
          <w:rFonts w:ascii="Book Antiqua" w:eastAsia="Times New Roman" w:hAnsi="Book Antiqua" w:cs="Times New Roman"/>
          <w:color w:val="000000"/>
        </w:rPr>
        <w:t xml:space="preserve"> . . . and the </w:t>
      </w:r>
      <w:r w:rsidRPr="0037302E">
        <w:rPr>
          <w:rFonts w:ascii="Book Antiqua" w:eastAsia="Times New Roman" w:hAnsi="Book Antiqua" w:cs="Times New Roman"/>
          <w:i/>
          <w:iCs/>
          <w:color w:val="000000"/>
        </w:rPr>
        <w:t>lex civilis</w:t>
      </w:r>
      <w:r w:rsidRPr="0037302E">
        <w:rPr>
          <w:rFonts w:ascii="Book Antiqua" w:eastAsia="Times New Roman" w:hAnsi="Book Antiqua" w:cs="Times New Roman"/>
          <w:color w:val="000000"/>
        </w:rPr>
        <w:t xml:space="preserve">, or civil law. The </w:t>
      </w:r>
      <w:r w:rsidRPr="0037302E">
        <w:rPr>
          <w:rFonts w:ascii="Book Antiqua" w:eastAsia="Times New Roman" w:hAnsi="Book Antiqua" w:cs="Times New Roman"/>
          <w:i/>
          <w:iCs/>
          <w:color w:val="000000"/>
        </w:rPr>
        <w:t>lex moralis,</w:t>
      </w:r>
      <w:r w:rsidRPr="0037302E">
        <w:rPr>
          <w:rFonts w:ascii="Book Antiqua" w:eastAsia="Times New Roman" w:hAnsi="Book Antiqua" w:cs="Times New Roman"/>
          <w:color w:val="000000"/>
        </w:rPr>
        <w:t xml:space="preserve"> which is primarily intended to regulate morals, is known to the </w:t>
      </w:r>
      <w:r w:rsidRPr="0037302E">
        <w:rPr>
          <w:rFonts w:ascii="Book Antiqua" w:eastAsia="Times New Roman" w:hAnsi="Book Antiqua" w:cs="Times New Roman"/>
          <w:i/>
          <w:iCs/>
          <w:color w:val="000000"/>
        </w:rPr>
        <w:t>synderesis</w:t>
      </w:r>
      <w:r w:rsidRPr="0037302E">
        <w:rPr>
          <w:rFonts w:ascii="Book Antiqua" w:eastAsia="Times New Roman" w:hAnsi="Book Antiqua" w:cs="Times New Roman"/>
          <w:color w:val="000000"/>
        </w:rPr>
        <w:t xml:space="preserve"> [i.e., the innate habit of understanding basic principles of moral law] and is the basis of the acts of </w:t>
      </w:r>
      <w:r w:rsidRPr="0037302E">
        <w:rPr>
          <w:rFonts w:ascii="Book Antiqua" w:eastAsia="Times New Roman" w:hAnsi="Book Antiqua" w:cs="Times New Roman"/>
          <w:i/>
          <w:iCs/>
          <w:color w:val="000000"/>
        </w:rPr>
        <w:t>conscientia</w:t>
      </w:r>
      <w:r w:rsidRPr="0037302E">
        <w:rPr>
          <w:rFonts w:ascii="Book Antiqua" w:eastAsia="Times New Roman" w:hAnsi="Book Antiqua" w:cs="Times New Roman"/>
          <w:color w:val="000000"/>
        </w:rPr>
        <w:t xml:space="preserve"> [i.e., conscience–the application of the innate habit above]. In substance, the </w:t>
      </w:r>
      <w:r w:rsidRPr="0037302E">
        <w:rPr>
          <w:rFonts w:ascii="Book Antiqua" w:eastAsia="Times New Roman" w:hAnsi="Book Antiqua" w:cs="Times New Roman"/>
          <w:i/>
          <w:iCs/>
          <w:color w:val="000000"/>
        </w:rPr>
        <w:t>lex moralis</w:t>
      </w:r>
      <w:r w:rsidRPr="0037302E">
        <w:rPr>
          <w:rFonts w:ascii="Book Antiqua" w:eastAsia="Times New Roman" w:hAnsi="Book Antiqua" w:cs="Times New Roman"/>
          <w:color w:val="000000"/>
        </w:rPr>
        <w:t xml:space="preserve"> is identical with the </w:t>
      </w:r>
      <w:r w:rsidRPr="0037302E">
        <w:rPr>
          <w:rFonts w:ascii="Book Antiqua" w:eastAsia="Times New Roman" w:hAnsi="Book Antiqua" w:cs="Times New Roman"/>
          <w:i/>
          <w:iCs/>
          <w:color w:val="000000"/>
        </w:rPr>
        <w:t>lex naturalis</w:t>
      </w:r>
      <w:r w:rsidRPr="0037302E">
        <w:rPr>
          <w:rFonts w:ascii="Book Antiqua" w:eastAsia="Times New Roman" w:hAnsi="Book Antiqua" w:cs="Times New Roman"/>
          <w:color w:val="000000"/>
        </w:rPr>
        <w:t xml:space="preserve"> . . . but, unlike the natural law, it is given by revelation in a form which is clearer and fuller than that otherwise known to the reason.</w:t>
      </w:r>
      <w:r w:rsidRPr="0037302E">
        <w:rPr>
          <w:rFonts w:ascii="Book Antiqua" w:eastAsia="Times New Roman" w:hAnsi="Book Antiqua" w:cs="Times New Roman"/>
          <w:color w:val="000000"/>
          <w:vertAlign w:val="superscript"/>
        </w:rPr>
        <w:footnoteReference w:id="7"/>
      </w:r>
    </w:p>
    <w:p w:rsidR="00C0511B" w:rsidRPr="0037302E" w:rsidRDefault="00C0511B" w:rsidP="00C0511B">
      <w:pPr>
        <w:spacing w:after="0" w:line="240" w:lineRule="auto"/>
        <w:jc w:val="both"/>
        <w:rPr>
          <w:rFonts w:ascii="Book Antiqua" w:hAnsi="Book Antiqua"/>
        </w:rPr>
      </w:pPr>
    </w:p>
    <w:p w:rsidR="00C0511B" w:rsidRPr="0037302E" w:rsidRDefault="00C0511B" w:rsidP="00C0511B">
      <w:pPr>
        <w:spacing w:after="0" w:line="240" w:lineRule="auto"/>
        <w:jc w:val="both"/>
        <w:rPr>
          <w:rFonts w:ascii="Book Antiqua" w:hAnsi="Book Antiqua"/>
        </w:rPr>
      </w:pPr>
      <w:r w:rsidRPr="0037302E">
        <w:rPr>
          <w:rFonts w:ascii="Book Antiqua" w:hAnsi="Book Antiqua"/>
        </w:rPr>
        <w:t>As noted above, the moral law is summarily comprehended in the Decalogue, not exhausted by it. Though the formal promulgation of the Decalogue had a unique redemptive-historical context and use, it is nothing other than the natural law incorporated into the Mosaic covenant</w:t>
      </w:r>
      <w:r>
        <w:rPr>
          <w:rFonts w:ascii="Book Antiqua" w:hAnsi="Book Antiqua"/>
        </w:rPr>
        <w:t xml:space="preserve"> in a new form</w:t>
      </w:r>
      <w:r w:rsidRPr="0037302E">
        <w:rPr>
          <w:rFonts w:ascii="Book Antiqua" w:hAnsi="Book Antiqua"/>
        </w:rPr>
        <w:t xml:space="preserve">. This is </w:t>
      </w:r>
      <w:r>
        <w:rPr>
          <w:rFonts w:ascii="Book Antiqua" w:hAnsi="Book Antiqua"/>
        </w:rPr>
        <w:t>one of its uses in the Bible, though</w:t>
      </w:r>
      <w:r w:rsidRPr="0037302E">
        <w:rPr>
          <w:rFonts w:ascii="Book Antiqua" w:hAnsi="Book Antiqua"/>
        </w:rPr>
        <w:t xml:space="preserve"> </w:t>
      </w:r>
      <w:r>
        <w:rPr>
          <w:rFonts w:ascii="Book Antiqua" w:hAnsi="Book Antiqua"/>
        </w:rPr>
        <w:t>it does not exhaust</w:t>
      </w:r>
      <w:r w:rsidRPr="0037302E">
        <w:rPr>
          <w:rFonts w:ascii="Book Antiqua" w:hAnsi="Book Antiqua"/>
        </w:rPr>
        <w:t xml:space="preserve"> its uses</w:t>
      </w:r>
      <w:r>
        <w:rPr>
          <w:rFonts w:ascii="Book Antiqua" w:hAnsi="Book Antiqua"/>
        </w:rPr>
        <w:t xml:space="preserve"> (e.g., Jer. 31:33)</w:t>
      </w:r>
      <w:r w:rsidRPr="0037302E">
        <w:rPr>
          <w:rFonts w:ascii="Book Antiqua" w:hAnsi="Book Antiqua"/>
        </w:rPr>
        <w:t>.</w:t>
      </w:r>
    </w:p>
    <w:p w:rsidR="00C0511B" w:rsidRPr="00FD54CA" w:rsidRDefault="00C0511B" w:rsidP="00C0511B">
      <w:pPr>
        <w:spacing w:after="0" w:line="240" w:lineRule="auto"/>
        <w:jc w:val="both"/>
        <w:rPr>
          <w:rFonts w:ascii="Book Antiqua" w:eastAsia="Times New Roman" w:hAnsi="Book Antiqua" w:cs="Times New Roman"/>
          <w:sz w:val="30"/>
          <w:szCs w:val="30"/>
        </w:rPr>
      </w:pPr>
    </w:p>
    <w:p w:rsidR="00C0511B" w:rsidRPr="0037302E" w:rsidRDefault="00C0511B" w:rsidP="00C0511B">
      <w:pPr>
        <w:spacing w:after="0" w:line="240" w:lineRule="auto"/>
        <w:jc w:val="both"/>
        <w:rPr>
          <w:rFonts w:ascii="Book Antiqua" w:eastAsia="Times New Roman" w:hAnsi="Book Antiqua" w:cs="Times New Roman"/>
          <w:b/>
          <w:i/>
        </w:rPr>
      </w:pPr>
      <w:r w:rsidRPr="0037302E">
        <w:rPr>
          <w:rFonts w:ascii="Book Antiqua" w:eastAsia="Times New Roman" w:hAnsi="Book Antiqua" w:cs="Times New Roman"/>
          <w:b/>
          <w:i/>
        </w:rPr>
        <w:t>Positive Law</w:t>
      </w:r>
    </w:p>
    <w:p w:rsidR="00C0511B" w:rsidRPr="0037302E" w:rsidRDefault="00C0511B" w:rsidP="00C0511B">
      <w:pPr>
        <w:spacing w:after="0" w:line="240" w:lineRule="auto"/>
        <w:jc w:val="both"/>
        <w:rPr>
          <w:rFonts w:ascii="Book Antiqua" w:eastAsia="Times New Roman" w:hAnsi="Book Antiqua" w:cs="Times New Roman"/>
        </w:rPr>
      </w:pPr>
    </w:p>
    <w:p w:rsidR="00C0511B" w:rsidRPr="0037302E" w:rsidRDefault="00C0511B" w:rsidP="00C0511B">
      <w:pPr>
        <w:spacing w:after="0" w:line="240" w:lineRule="auto"/>
        <w:jc w:val="both"/>
        <w:rPr>
          <w:rFonts w:ascii="Book Antiqua" w:hAnsi="Book Antiqua"/>
        </w:rPr>
      </w:pPr>
      <w:r w:rsidRPr="0037302E">
        <w:rPr>
          <w:rFonts w:ascii="Book Antiqua" w:hAnsi="Book Antiqua"/>
        </w:rPr>
        <w:t>Positive laws are those laws added to the natural or moral law. They are dependent upon the will of God. These laws are “good because God commands them.”</w:t>
      </w:r>
      <w:r w:rsidRPr="0037302E">
        <w:rPr>
          <w:rStyle w:val="FootnoteReference"/>
          <w:rFonts w:ascii="Book Antiqua" w:hAnsi="Book Antiqua"/>
        </w:rPr>
        <w:footnoteReference w:id="8"/>
      </w:r>
      <w:r w:rsidRPr="0037302E">
        <w:rPr>
          <w:rFonts w:ascii="Book Antiqua" w:hAnsi="Book Antiqua"/>
        </w:rPr>
        <w:t xml:space="preserve"> They become just, because commanded</w:t>
      </w:r>
      <w:r>
        <w:rPr>
          <w:rFonts w:ascii="Book Antiqua" w:hAnsi="Book Antiqua"/>
        </w:rPr>
        <w:t xml:space="preserve"> by God</w:t>
      </w:r>
      <w:r w:rsidRPr="0037302E">
        <w:rPr>
          <w:rFonts w:ascii="Book Antiqua" w:hAnsi="Book Antiqua"/>
        </w:rPr>
        <w:t xml:space="preserve">. The first revelation of positive law was delivered to Adam in the Garden </w:t>
      </w:r>
      <w:r w:rsidRPr="0037302E">
        <w:rPr>
          <w:rFonts w:ascii="Book Antiqua" w:hAnsi="Book Antiqua"/>
        </w:rPr>
        <w:lastRenderedPageBreak/>
        <w:t xml:space="preserve">(Gen. 1:28; 2:17; cf. 2LCF 4.3; 6.1; 7.1-3; 19.1). Subsequent positive laws are spread throughout the Old and New Testaments. Positive laws can be abrogated for various reasons. They are not necessarily universal or perpetual. Some obvious examples of positive law in the Old Testament are circumcision and the laws of sacrifice and two New Testament illustrations are baptism and the Lord’s Supper. </w:t>
      </w:r>
      <w:proofErr w:type="gramStart"/>
      <w:r w:rsidRPr="0037302E">
        <w:rPr>
          <w:rFonts w:ascii="Book Antiqua" w:hAnsi="Book Antiqua"/>
        </w:rPr>
        <w:t>Neither circumcision, sacrifices, baptism, or</w:t>
      </w:r>
      <w:proofErr w:type="gramEnd"/>
      <w:r w:rsidRPr="0037302E">
        <w:rPr>
          <w:rFonts w:ascii="Book Antiqua" w:hAnsi="Book Antiqua"/>
        </w:rPr>
        <w:t xml:space="preserve"> the Lord’s Supper are universal or perpetual. The ceremonial laws of the Old Testament, as well as the judicial law of old covenant Israel, are also examples of positive law. Ceremonial law is not based on creation but conditioned upon God’s purpose to remedy the plight of man due to sin. It is positive law, law added to the natural or moral law and, in this case, for the purposes of redemption. The judicial law refers to the civil laws revealed through Moses for ancient Israel as God’s nation in the land of promise. Though the underlying principles of these laws (i.e., their general equity) are s</w:t>
      </w:r>
      <w:r>
        <w:rPr>
          <w:rFonts w:ascii="Book Antiqua" w:hAnsi="Book Antiqua"/>
        </w:rPr>
        <w:t>t</w:t>
      </w:r>
      <w:r w:rsidRPr="0037302E">
        <w:rPr>
          <w:rFonts w:ascii="Book Antiqua" w:hAnsi="Book Antiqua"/>
        </w:rPr>
        <w:t>ill of moral use (2LCF 19.7), the laws as universal</w:t>
      </w:r>
      <w:r>
        <w:rPr>
          <w:rFonts w:ascii="Book Antiqua" w:hAnsi="Book Antiqua"/>
        </w:rPr>
        <w:t xml:space="preserve">, </w:t>
      </w:r>
      <w:proofErr w:type="gramStart"/>
      <w:r>
        <w:rPr>
          <w:rFonts w:ascii="Book Antiqua" w:hAnsi="Book Antiqua"/>
        </w:rPr>
        <w:t xml:space="preserve">positive </w:t>
      </w:r>
      <w:r w:rsidRPr="0037302E">
        <w:rPr>
          <w:rFonts w:ascii="Book Antiqua" w:hAnsi="Book Antiqua"/>
        </w:rPr>
        <w:t xml:space="preserve"> laws</w:t>
      </w:r>
      <w:proofErr w:type="gramEnd"/>
      <w:r w:rsidRPr="0037302E">
        <w:rPr>
          <w:rFonts w:ascii="Book Antiqua" w:hAnsi="Book Antiqua"/>
        </w:rPr>
        <w:t xml:space="preserve"> for God’s covenant people have expired along with the theocracy.</w:t>
      </w:r>
    </w:p>
    <w:p w:rsidR="00C0511B" w:rsidRPr="00FD54CA" w:rsidRDefault="00C0511B" w:rsidP="00C0511B">
      <w:pPr>
        <w:spacing w:after="0" w:line="240" w:lineRule="auto"/>
        <w:jc w:val="both"/>
        <w:rPr>
          <w:rFonts w:ascii="Book Antiqua" w:hAnsi="Book Antiqua"/>
          <w:sz w:val="30"/>
          <w:szCs w:val="30"/>
        </w:rPr>
      </w:pPr>
    </w:p>
    <w:p w:rsidR="00C0511B" w:rsidRPr="0037302E" w:rsidRDefault="00C0511B" w:rsidP="00C0511B">
      <w:pPr>
        <w:spacing w:after="0" w:line="240" w:lineRule="auto"/>
        <w:jc w:val="both"/>
        <w:rPr>
          <w:rFonts w:ascii="Book Antiqua" w:eastAsia="Times New Roman" w:hAnsi="Book Antiqua" w:cs="Times New Roman"/>
          <w:b/>
          <w:i/>
        </w:rPr>
      </w:pPr>
      <w:r w:rsidRPr="0037302E">
        <w:rPr>
          <w:rFonts w:ascii="Book Antiqua" w:hAnsi="Book Antiqua"/>
          <w:b/>
          <w:i/>
        </w:rPr>
        <w:t>The Threefold Division of the Law</w:t>
      </w:r>
    </w:p>
    <w:p w:rsidR="00C0511B" w:rsidRPr="0037302E" w:rsidRDefault="00C0511B" w:rsidP="00C0511B">
      <w:pPr>
        <w:spacing w:after="0" w:line="240" w:lineRule="auto"/>
        <w:jc w:val="both"/>
        <w:rPr>
          <w:rFonts w:ascii="Book Antiqua" w:eastAsia="Times New Roman" w:hAnsi="Book Antiqua" w:cs="Times New Roman"/>
        </w:rPr>
      </w:pPr>
    </w:p>
    <w:p w:rsidR="00C0511B" w:rsidRPr="0037302E" w:rsidRDefault="00C0511B" w:rsidP="00C0511B">
      <w:pPr>
        <w:spacing w:after="0" w:line="240" w:lineRule="auto"/>
        <w:jc w:val="both"/>
        <w:rPr>
          <w:rFonts w:ascii="Book Antiqua" w:eastAsia="Times New Roman" w:hAnsi="Book Antiqua" w:cs="Times New Roman"/>
        </w:rPr>
      </w:pPr>
      <w:r w:rsidRPr="0037302E">
        <w:rPr>
          <w:rFonts w:ascii="Book Antiqua" w:eastAsia="Times New Roman" w:hAnsi="Book Antiqua" w:cs="Times New Roman"/>
        </w:rPr>
        <w:t>The threefold division of the law</w:t>
      </w:r>
      <w:r w:rsidRPr="0037302E">
        <w:rPr>
          <w:rFonts w:ascii="Book Antiqua" w:hAnsi="Book Antiqua"/>
        </w:rPr>
        <w:t xml:space="preserve"> understands the moral law as based on creation and, therefore, perpetually binding on all men (though in differing ways) and the ceremonial and judicial law of the old covenant as supplemental to the Decalogue under the Mosaic covenant (cf. 2LCF 19.1-4 and the outline of 19.1-7 above). The ceremonial and judicial law of the Mosaic covenant is positive law, law added to the moral law for temporary redemptive-historical purposes. The threefold division of the law is based on the fact that the Bible makes distinctions between different types of law functioning under the Mosaic covenant </w:t>
      </w:r>
      <w:r>
        <w:rPr>
          <w:rFonts w:ascii="Book Antiqua" w:hAnsi="Book Antiqua"/>
        </w:rPr>
        <w:t xml:space="preserve">(and prior to it) </w:t>
      </w:r>
      <w:r w:rsidRPr="0037302E">
        <w:rPr>
          <w:rFonts w:ascii="Book Antiqua" w:hAnsi="Book Antiqua"/>
        </w:rPr>
        <w:t xml:space="preserve">and views the principles of the Decalogue </w:t>
      </w:r>
      <w:r>
        <w:rPr>
          <w:rFonts w:ascii="Book Antiqua" w:hAnsi="Book Antiqua"/>
        </w:rPr>
        <w:t xml:space="preserve">as </w:t>
      </w:r>
      <w:r w:rsidRPr="0037302E">
        <w:rPr>
          <w:rFonts w:ascii="Book Antiqua" w:hAnsi="Book Antiqua"/>
        </w:rPr>
        <w:t>pre-dating its formal promulgation at Sinai, going back to the creation of man.</w:t>
      </w:r>
      <w:r w:rsidRPr="0037302E">
        <w:rPr>
          <w:rStyle w:val="FootnoteReference"/>
          <w:rFonts w:ascii="Book Antiqua" w:hAnsi="Book Antiqua"/>
        </w:rPr>
        <w:footnoteReference w:id="9"/>
      </w:r>
      <w:r>
        <w:rPr>
          <w:rFonts w:ascii="Book Antiqua" w:hAnsi="Book Antiqua"/>
        </w:rPr>
        <w:t xml:space="preserve"> In one sense, the Decalogue under the Mosaic covenant is positive law, law for ancient Israel as God’s covenant nation to be obeyed as such in the land of promise.</w:t>
      </w:r>
      <w:r>
        <w:rPr>
          <w:rStyle w:val="FootnoteReference"/>
          <w:rFonts w:ascii="Book Antiqua" w:hAnsi="Book Antiqua"/>
        </w:rPr>
        <w:footnoteReference w:id="10"/>
      </w:r>
    </w:p>
    <w:p w:rsidR="00C0511B" w:rsidRPr="00FD54CA" w:rsidRDefault="00C0511B" w:rsidP="00C0511B">
      <w:pPr>
        <w:spacing w:after="0" w:line="240" w:lineRule="auto"/>
        <w:jc w:val="both"/>
        <w:rPr>
          <w:rFonts w:ascii="Book Antiqua" w:eastAsia="Times New Roman" w:hAnsi="Book Antiqua" w:cs="Times New Roman"/>
          <w:sz w:val="30"/>
          <w:szCs w:val="30"/>
        </w:rPr>
      </w:pPr>
    </w:p>
    <w:p w:rsidR="00C0511B" w:rsidRPr="0037302E" w:rsidRDefault="00C0511B" w:rsidP="00C0511B">
      <w:pPr>
        <w:spacing w:after="0" w:line="240" w:lineRule="auto"/>
        <w:jc w:val="both"/>
        <w:rPr>
          <w:rFonts w:ascii="Book Antiqua" w:eastAsia="Times New Roman" w:hAnsi="Book Antiqua" w:cs="Times New Roman"/>
          <w:b/>
          <w:i/>
        </w:rPr>
      </w:pPr>
      <w:r w:rsidRPr="0037302E">
        <w:rPr>
          <w:rFonts w:ascii="Book Antiqua" w:eastAsia="Times New Roman" w:hAnsi="Book Antiqua" w:cs="Times New Roman"/>
          <w:b/>
          <w:i/>
        </w:rPr>
        <w:t>The Threefold Use of the Law</w:t>
      </w:r>
    </w:p>
    <w:p w:rsidR="00C0511B" w:rsidRPr="0037302E" w:rsidRDefault="00C0511B" w:rsidP="00C0511B">
      <w:pPr>
        <w:spacing w:after="0" w:line="240" w:lineRule="auto"/>
        <w:jc w:val="both"/>
        <w:rPr>
          <w:rFonts w:ascii="Book Antiqua" w:eastAsia="Times New Roman" w:hAnsi="Book Antiqua" w:cs="Times New Roman"/>
        </w:rPr>
      </w:pPr>
    </w:p>
    <w:p w:rsidR="00C0511B" w:rsidRPr="0037302E" w:rsidRDefault="00C0511B" w:rsidP="00C0511B">
      <w:pPr>
        <w:spacing w:after="0" w:line="240" w:lineRule="auto"/>
        <w:jc w:val="both"/>
        <w:rPr>
          <w:rFonts w:ascii="Book Antiqua" w:eastAsia="Times New Roman" w:hAnsi="Book Antiqua" w:cs="Times New Roman"/>
        </w:rPr>
      </w:pPr>
      <w:r w:rsidRPr="0037302E">
        <w:rPr>
          <w:rFonts w:ascii="Book Antiqua" w:eastAsia="Times New Roman" w:hAnsi="Book Antiqua" w:cs="Times New Roman"/>
        </w:rPr>
        <w:t>The threefold use of the law and the threefold division of the law are not one and the same thing. Concerning the doctrine of the threefold use of the law, Muller says:</w:t>
      </w:r>
    </w:p>
    <w:p w:rsidR="00C0511B" w:rsidRPr="0037302E" w:rsidRDefault="00C0511B" w:rsidP="00C0511B">
      <w:pPr>
        <w:spacing w:after="0" w:line="240" w:lineRule="auto"/>
        <w:jc w:val="both"/>
        <w:rPr>
          <w:rFonts w:ascii="Book Antiqua" w:hAnsi="Book Antiqua"/>
        </w:rPr>
      </w:pPr>
    </w:p>
    <w:p w:rsidR="00C0511B" w:rsidRPr="0037302E" w:rsidRDefault="00C0511B" w:rsidP="00C0511B">
      <w:pPr>
        <w:spacing w:after="0" w:line="240" w:lineRule="auto"/>
        <w:ind w:left="360" w:right="360"/>
        <w:jc w:val="both"/>
        <w:rPr>
          <w:rFonts w:ascii="Book Antiqua" w:hAnsi="Book Antiqua"/>
        </w:rPr>
      </w:pPr>
      <w:proofErr w:type="gramStart"/>
      <w:r w:rsidRPr="0037302E">
        <w:rPr>
          <w:rFonts w:ascii="Book Antiqua" w:hAnsi="Book Antiqua"/>
          <w:b/>
        </w:rPr>
        <w:t>usus</w:t>
      </w:r>
      <w:proofErr w:type="gramEnd"/>
      <w:r w:rsidRPr="0037302E">
        <w:rPr>
          <w:rFonts w:ascii="Book Antiqua" w:hAnsi="Book Antiqua"/>
          <w:b/>
        </w:rPr>
        <w:t xml:space="preserve"> legis</w:t>
      </w:r>
      <w:r w:rsidRPr="0037302E">
        <w:rPr>
          <w:rFonts w:ascii="Book Antiqua" w:hAnsi="Book Antiqua"/>
        </w:rPr>
        <w:t xml:space="preserve">: </w:t>
      </w:r>
      <w:r w:rsidRPr="0037302E">
        <w:rPr>
          <w:rFonts w:ascii="Book Antiqua" w:hAnsi="Book Antiqua"/>
          <w:i/>
        </w:rPr>
        <w:t>use of the law</w:t>
      </w:r>
      <w:r w:rsidRPr="0037302E">
        <w:rPr>
          <w:rFonts w:ascii="Book Antiqua" w:hAnsi="Book Antiqua"/>
        </w:rPr>
        <w:t xml:space="preserve">; as distinguished by the Protestant scholastics, both Lutheran and Reformed, there are three uses of the </w:t>
      </w:r>
      <w:r w:rsidRPr="0037302E">
        <w:rPr>
          <w:rFonts w:ascii="Book Antiqua" w:hAnsi="Book Antiqua"/>
          <w:i/>
        </w:rPr>
        <w:t>lex moralis</w:t>
      </w:r>
      <w:r w:rsidRPr="0037302E">
        <w:rPr>
          <w:rFonts w:ascii="Book Antiqua" w:hAnsi="Book Antiqua"/>
        </w:rPr>
        <w:t xml:space="preserve">. (1) . . . the political or civil use, according to which the law serves the commonwealth, or body politic, as a force for the restraint of sin. The first </w:t>
      </w:r>
      <w:r w:rsidRPr="0037302E">
        <w:rPr>
          <w:rFonts w:ascii="Book Antiqua" w:hAnsi="Book Antiqua"/>
          <w:i/>
        </w:rPr>
        <w:t>usus</w:t>
      </w:r>
      <w:r w:rsidRPr="0037302E">
        <w:rPr>
          <w:rFonts w:ascii="Book Antiqua" w:hAnsi="Book Antiqua"/>
        </w:rPr>
        <w:t xml:space="preserve"> stands completely apart from any relation to the work of salvation and functions much as </w:t>
      </w:r>
      <w:r w:rsidRPr="0037302E">
        <w:rPr>
          <w:rFonts w:ascii="Book Antiqua" w:hAnsi="Book Antiqua"/>
          <w:i/>
        </w:rPr>
        <w:t>revelatio generalis</w:t>
      </w:r>
      <w:r w:rsidRPr="0037302E">
        <w:rPr>
          <w:rFonts w:ascii="Book Antiqua" w:hAnsi="Book Antiqua"/>
        </w:rPr>
        <w:t xml:space="preserve"> . . . in bringing some knowledge of God’s will to all mankind. (2) . . . the elenctical or pedagogical use; i.e., the use of the law for the confrontation and refutation of sin and for the purpose of pointing the way to Christ. . . . (3) . . . the </w:t>
      </w:r>
      <w:r w:rsidRPr="0037302E">
        <w:rPr>
          <w:rFonts w:ascii="Book Antiqua" w:hAnsi="Book Antiqua"/>
          <w:i/>
        </w:rPr>
        <w:t>tertius usus legis</w:t>
      </w:r>
      <w:r w:rsidRPr="0037302E">
        <w:rPr>
          <w:rFonts w:ascii="Book Antiqua" w:hAnsi="Book Antiqua"/>
        </w:rPr>
        <w:t xml:space="preserve">, the third use of the law. This final use of the law </w:t>
      </w:r>
      <w:r w:rsidRPr="0037302E">
        <w:rPr>
          <w:rFonts w:ascii="Book Antiqua" w:hAnsi="Book Antiqua"/>
        </w:rPr>
        <w:lastRenderedPageBreak/>
        <w:t>pertains to believers in Christ who have been saved through faith apart from works. In the regenerate life, the law no longer functions to condemn, since it no longer stands elenctically over against man as the unreachable basis for salvation, but acts as a norm of conduct, freely accepted by those in whom the grace of God works the good. This normative use is also didactic inasmuch as the law now teaches, without condemnation, the way of righteousness.</w:t>
      </w:r>
      <w:r w:rsidRPr="0037302E">
        <w:rPr>
          <w:rStyle w:val="FootnoteReference"/>
          <w:rFonts w:ascii="Book Antiqua" w:hAnsi="Book Antiqua"/>
        </w:rPr>
        <w:footnoteReference w:id="11"/>
      </w:r>
    </w:p>
    <w:p w:rsidR="00C0511B" w:rsidRPr="0037302E" w:rsidRDefault="00C0511B" w:rsidP="00C0511B">
      <w:pPr>
        <w:spacing w:after="0" w:line="240" w:lineRule="auto"/>
        <w:jc w:val="both"/>
        <w:rPr>
          <w:rFonts w:ascii="Book Antiqua" w:hAnsi="Book Antiqua"/>
        </w:rPr>
      </w:pPr>
    </w:p>
    <w:p w:rsidR="00C0511B" w:rsidRPr="0037302E" w:rsidRDefault="00C0511B" w:rsidP="00C0511B">
      <w:pPr>
        <w:spacing w:after="0" w:line="240" w:lineRule="auto"/>
        <w:jc w:val="both"/>
        <w:rPr>
          <w:rFonts w:ascii="Book Antiqua" w:hAnsi="Book Antiqua"/>
        </w:rPr>
      </w:pPr>
      <w:r>
        <w:rPr>
          <w:rFonts w:ascii="Book Antiqua" w:hAnsi="Book Antiqua"/>
        </w:rPr>
        <w:t xml:space="preserve">The threefold use of the law refers to various functions of the moral law. </w:t>
      </w:r>
      <w:r w:rsidRPr="0037302E">
        <w:rPr>
          <w:rFonts w:ascii="Book Antiqua" w:hAnsi="Book Antiqua"/>
        </w:rPr>
        <w:t xml:space="preserve">The first use </w:t>
      </w:r>
      <w:r>
        <w:rPr>
          <w:rFonts w:ascii="Book Antiqua" w:hAnsi="Book Antiqua"/>
        </w:rPr>
        <w:t xml:space="preserve">of the moral law </w:t>
      </w:r>
      <w:r w:rsidRPr="0037302E">
        <w:rPr>
          <w:rFonts w:ascii="Book Antiqua" w:hAnsi="Book Antiqua"/>
        </w:rPr>
        <w:t>applies to all men. The second use applies to all men who come in contact with the written Word of God. The third use applies to believers alone. Chapter 19 paragr</w:t>
      </w:r>
      <w:r>
        <w:rPr>
          <w:rFonts w:ascii="Book Antiqua" w:hAnsi="Book Antiqua"/>
        </w:rPr>
        <w:t xml:space="preserve">aph 7 concentrates on the </w:t>
      </w:r>
      <w:r w:rsidRPr="0037302E">
        <w:rPr>
          <w:rFonts w:ascii="Book Antiqua" w:hAnsi="Book Antiqua"/>
        </w:rPr>
        <w:t>use of the</w:t>
      </w:r>
      <w:r>
        <w:rPr>
          <w:rFonts w:ascii="Book Antiqua" w:hAnsi="Book Antiqua"/>
        </w:rPr>
        <w:t xml:space="preserve"> </w:t>
      </w:r>
      <w:proofErr w:type="gramStart"/>
      <w:r>
        <w:rPr>
          <w:rFonts w:ascii="Book Antiqua" w:hAnsi="Book Antiqua"/>
        </w:rPr>
        <w:t>moral  law</w:t>
      </w:r>
      <w:proofErr w:type="gramEnd"/>
      <w:r>
        <w:rPr>
          <w:rFonts w:ascii="Book Antiqua" w:hAnsi="Book Antiqua"/>
        </w:rPr>
        <w:t xml:space="preserve"> for believers. It functions, among other things,</w:t>
      </w:r>
      <w:r w:rsidRPr="0037302E">
        <w:rPr>
          <w:rFonts w:ascii="Book Antiqua" w:hAnsi="Book Antiqua"/>
        </w:rPr>
        <w:t xml:space="preserve"> as a </w:t>
      </w:r>
      <w:r w:rsidRPr="0037302E">
        <w:rPr>
          <w:rFonts w:ascii="Book Antiqua" w:hAnsi="Book Antiqua"/>
          <w:i/>
        </w:rPr>
        <w:t>pattern for life</w:t>
      </w:r>
      <w:r w:rsidRPr="0037302E">
        <w:rPr>
          <w:rFonts w:ascii="Book Antiqua" w:hAnsi="Book Antiqua"/>
        </w:rPr>
        <w:t>,</w:t>
      </w:r>
      <w:r w:rsidRPr="0037302E">
        <w:rPr>
          <w:rStyle w:val="FootnoteReference"/>
          <w:rFonts w:ascii="Book Antiqua" w:hAnsi="Book Antiqua"/>
        </w:rPr>
        <w:footnoteReference w:id="12"/>
      </w:r>
      <w:r>
        <w:rPr>
          <w:rFonts w:ascii="Book Antiqua" w:hAnsi="Book Antiqua"/>
        </w:rPr>
        <w:t xml:space="preserve"> that is, it</w:t>
      </w:r>
      <w:r w:rsidRPr="0037302E">
        <w:rPr>
          <w:rFonts w:ascii="Book Antiqua" w:hAnsi="Book Antiqua"/>
        </w:rPr>
        <w:t xml:space="preserve"> function</w:t>
      </w:r>
      <w:r>
        <w:rPr>
          <w:rFonts w:ascii="Book Antiqua" w:hAnsi="Book Antiqua"/>
        </w:rPr>
        <w:t>s as a</w:t>
      </w:r>
      <w:r w:rsidRPr="0037302E">
        <w:rPr>
          <w:rFonts w:ascii="Book Antiqua" w:hAnsi="Book Antiqua"/>
        </w:rPr>
        <w:t xml:space="preserve"> guide for the sanctification of</w:t>
      </w:r>
      <w:r>
        <w:rPr>
          <w:rFonts w:ascii="Book Antiqua" w:hAnsi="Book Antiqua"/>
        </w:rPr>
        <w:t xml:space="preserve"> believers</w:t>
      </w:r>
      <w:r w:rsidRPr="0037302E">
        <w:rPr>
          <w:rFonts w:ascii="Book Antiqua" w:hAnsi="Book Antiqua"/>
        </w:rPr>
        <w:t>.</w:t>
      </w:r>
    </w:p>
    <w:p w:rsidR="00C0511B" w:rsidRPr="00FD54CA" w:rsidRDefault="00C0511B" w:rsidP="00C0511B">
      <w:pPr>
        <w:spacing w:after="0" w:line="240" w:lineRule="auto"/>
        <w:jc w:val="both"/>
        <w:rPr>
          <w:rFonts w:ascii="Book Antiqua" w:eastAsia="Times New Roman" w:hAnsi="Book Antiqua" w:cs="Times New Roman"/>
          <w:sz w:val="30"/>
          <w:szCs w:val="30"/>
        </w:rPr>
      </w:pPr>
    </w:p>
    <w:p w:rsidR="00C0511B" w:rsidRPr="00784D45" w:rsidRDefault="00C0511B" w:rsidP="00C0511B">
      <w:pPr>
        <w:spacing w:after="0" w:line="240" w:lineRule="auto"/>
        <w:jc w:val="center"/>
        <w:rPr>
          <w:rFonts w:ascii="Book Antiqua" w:eastAsia="Times New Roman" w:hAnsi="Book Antiqua" w:cs="Times New Roman"/>
          <w:b/>
          <w:sz w:val="26"/>
          <w:szCs w:val="26"/>
        </w:rPr>
      </w:pPr>
      <w:r w:rsidRPr="00784D45">
        <w:rPr>
          <w:rFonts w:ascii="Book Antiqua" w:eastAsia="Times New Roman" w:hAnsi="Book Antiqua" w:cs="Times New Roman"/>
          <w:b/>
          <w:sz w:val="26"/>
          <w:szCs w:val="26"/>
        </w:rPr>
        <w:t>The “Uses of the Law” Implied by 2LCF 19.7</w:t>
      </w:r>
    </w:p>
    <w:p w:rsidR="00C0511B" w:rsidRPr="0037302E" w:rsidRDefault="00C0511B" w:rsidP="00C0511B">
      <w:pPr>
        <w:spacing w:after="0" w:line="240" w:lineRule="auto"/>
        <w:jc w:val="both"/>
        <w:rPr>
          <w:rFonts w:ascii="Book Antiqua" w:eastAsia="Times New Roman" w:hAnsi="Book Antiqua" w:cs="Times New Roman"/>
        </w:rPr>
      </w:pPr>
    </w:p>
    <w:p w:rsidR="00C0511B" w:rsidRPr="0037302E" w:rsidRDefault="00C0511B" w:rsidP="00C0511B">
      <w:pPr>
        <w:spacing w:after="0" w:line="240" w:lineRule="auto"/>
        <w:jc w:val="both"/>
        <w:rPr>
          <w:rFonts w:ascii="Book Antiqua" w:eastAsia="Times New Roman" w:hAnsi="Book Antiqua" w:cs="Times New Roman"/>
        </w:rPr>
      </w:pPr>
      <w:r w:rsidRPr="0037302E">
        <w:rPr>
          <w:rFonts w:ascii="Book Antiqua" w:eastAsia="Times New Roman" w:hAnsi="Book Antiqua" w:cs="Times New Roman"/>
        </w:rPr>
        <w:t xml:space="preserve">What are the uses of the </w:t>
      </w:r>
      <w:r>
        <w:rPr>
          <w:rFonts w:ascii="Book Antiqua" w:eastAsia="Times New Roman" w:hAnsi="Book Antiqua" w:cs="Times New Roman"/>
        </w:rPr>
        <w:t xml:space="preserve">moral </w:t>
      </w:r>
      <w:r w:rsidRPr="0037302E">
        <w:rPr>
          <w:rFonts w:ascii="Book Antiqua" w:eastAsia="Times New Roman" w:hAnsi="Book Antiqua" w:cs="Times New Roman"/>
        </w:rPr>
        <w:t>law implied by 2LCF 19.7</w:t>
      </w:r>
      <w:r>
        <w:rPr>
          <w:rFonts w:ascii="Book Antiqua" w:eastAsia="Times New Roman" w:hAnsi="Book Antiqua" w:cs="Times New Roman"/>
        </w:rPr>
        <w:t>, “</w:t>
      </w:r>
      <w:r w:rsidRPr="0037302E">
        <w:rPr>
          <w:rFonts w:ascii="Book Antiqua" w:eastAsia="Times New Roman" w:hAnsi="Book Antiqua" w:cs="Times New Roman"/>
        </w:rPr>
        <w:t>the aforementi</w:t>
      </w:r>
      <w:r>
        <w:rPr>
          <w:rFonts w:ascii="Book Antiqua" w:eastAsia="Times New Roman" w:hAnsi="Book Antiqua" w:cs="Times New Roman"/>
        </w:rPr>
        <w:t>oned uses of the law”</w:t>
      </w:r>
      <w:r w:rsidRPr="0037302E">
        <w:rPr>
          <w:rFonts w:ascii="Book Antiqua" w:eastAsia="Times New Roman" w:hAnsi="Book Antiqua" w:cs="Times New Roman"/>
        </w:rPr>
        <w:t>? Here is 2LCF 19.6 with a list of the uses of the law contained in it.</w:t>
      </w:r>
    </w:p>
    <w:p w:rsidR="00C0511B" w:rsidRPr="0037302E" w:rsidRDefault="00C0511B" w:rsidP="00C0511B">
      <w:pPr>
        <w:spacing w:after="0" w:line="240" w:lineRule="auto"/>
        <w:ind w:left="360" w:right="360"/>
        <w:jc w:val="both"/>
        <w:rPr>
          <w:rFonts w:ascii="Book Antiqua" w:eastAsia="Times New Roman" w:hAnsi="Book Antiqua" w:cs="Times New Roman"/>
        </w:rPr>
      </w:pPr>
    </w:p>
    <w:p w:rsidR="00C0511B" w:rsidRPr="0037302E" w:rsidRDefault="00C0511B" w:rsidP="00C0511B">
      <w:pPr>
        <w:spacing w:after="0" w:line="240" w:lineRule="auto"/>
        <w:ind w:left="360" w:right="360"/>
        <w:jc w:val="both"/>
        <w:rPr>
          <w:rFonts w:ascii="Book Antiqua" w:eastAsia="Times New Roman" w:hAnsi="Book Antiqua" w:cs="Times New Roman"/>
        </w:rPr>
      </w:pPr>
      <w:r w:rsidRPr="0037302E">
        <w:rPr>
          <w:rFonts w:ascii="Book Antiqua" w:eastAsia="Times New Roman" w:hAnsi="Book Antiqua" w:cs="Times New Roman"/>
        </w:rPr>
        <w:t>6. Although true believers be not under the law as a covenant of works, (Rom. 6:14; Gal. 2:16; Rom. 8:1; 10:4) to be thereby justified or condemned, yet it is of great use to them as well as to others, in that as a rule of life, informing them of the will of God and their duty, it directs and binds them to walk accordingly; (Rom. 3:20; 7:7ff.) discovering also the sinful pollutions of their natures, hearts, and lives, so as examining themselves thereby, they may come to further conviction of, humiliation for, and hatred against, sin; together with a clearer sight of the need they have of Christ and the perfection of his obedience; it is likewise of use to the regenerate to restrain their corruptions, in that it forbids sin; and the threatenings of it serve to shew what even their sins deserve, and what afflictions in this life they may expect for them, although freed from the curse and unallayed rigour thereof. The promis</w:t>
      </w:r>
      <w:r>
        <w:rPr>
          <w:rFonts w:ascii="Book Antiqua" w:eastAsia="Times New Roman" w:hAnsi="Book Antiqua" w:cs="Times New Roman"/>
        </w:rPr>
        <w:t>es of it likewise shew them God’</w:t>
      </w:r>
      <w:r w:rsidRPr="0037302E">
        <w:rPr>
          <w:rFonts w:ascii="Book Antiqua" w:eastAsia="Times New Roman" w:hAnsi="Book Antiqua" w:cs="Times New Roman"/>
        </w:rPr>
        <w:t>s approbation of obedience, and what blessings they may expect upon the performance thereof, though not as due to them by the law as</w:t>
      </w:r>
      <w:r>
        <w:rPr>
          <w:rFonts w:ascii="Book Antiqua" w:eastAsia="Times New Roman" w:hAnsi="Book Antiqua" w:cs="Times New Roman"/>
        </w:rPr>
        <w:t xml:space="preserve"> a covenant of works; so as man’</w:t>
      </w:r>
      <w:r w:rsidRPr="0037302E">
        <w:rPr>
          <w:rFonts w:ascii="Book Antiqua" w:eastAsia="Times New Roman" w:hAnsi="Book Antiqua" w:cs="Times New Roman"/>
        </w:rPr>
        <w:t>s doing good and refraining from evil, because the law encourageth to the one and deterreth from the other, is no evidence of his being (Rom. 6:12-14; 1 Pet. 3:8-13) under the law and not under grace.</w:t>
      </w:r>
    </w:p>
    <w:p w:rsidR="00C0511B" w:rsidRPr="0037302E" w:rsidRDefault="00C0511B" w:rsidP="00C0511B">
      <w:pPr>
        <w:spacing w:after="0" w:line="240" w:lineRule="auto"/>
        <w:jc w:val="both"/>
        <w:rPr>
          <w:rFonts w:ascii="Book Antiqua" w:eastAsia="Times New Roman" w:hAnsi="Book Antiqua" w:cs="Times New Roman"/>
        </w:rPr>
      </w:pPr>
    </w:p>
    <w:p w:rsidR="00C0511B" w:rsidRPr="0037302E" w:rsidRDefault="00C0511B" w:rsidP="00C0511B">
      <w:pPr>
        <w:spacing w:after="0" w:line="240" w:lineRule="auto"/>
        <w:jc w:val="both"/>
        <w:rPr>
          <w:rFonts w:ascii="Book Antiqua" w:eastAsia="Times New Roman" w:hAnsi="Book Antiqua" w:cs="Times New Roman"/>
        </w:rPr>
      </w:pPr>
      <w:r w:rsidRPr="0037302E">
        <w:rPr>
          <w:rFonts w:ascii="Book Antiqua" w:eastAsia="Times New Roman" w:hAnsi="Book Antiqua" w:cs="Times New Roman"/>
        </w:rPr>
        <w:t>There are six</w:t>
      </w:r>
      <w:r>
        <w:rPr>
          <w:rFonts w:ascii="Book Antiqua" w:eastAsia="Times New Roman" w:hAnsi="Book Antiqua" w:cs="Times New Roman"/>
        </w:rPr>
        <w:t xml:space="preserve"> uses of the law contained here:</w:t>
      </w:r>
      <w:r w:rsidRPr="0037302E">
        <w:rPr>
          <w:rFonts w:ascii="Book Antiqua" w:eastAsia="Times New Roman" w:hAnsi="Book Antiqua" w:cs="Times New Roman"/>
        </w:rPr>
        <w:t xml:space="preserve"> three common to </w:t>
      </w:r>
      <w:r>
        <w:rPr>
          <w:rFonts w:ascii="Book Antiqua" w:eastAsia="Times New Roman" w:hAnsi="Book Antiqua" w:cs="Times New Roman"/>
        </w:rPr>
        <w:t>both believers and unbelievers</w:t>
      </w:r>
      <w:r w:rsidRPr="0037302E">
        <w:rPr>
          <w:rFonts w:ascii="Book Antiqua" w:eastAsia="Times New Roman" w:hAnsi="Book Antiqua" w:cs="Times New Roman"/>
        </w:rPr>
        <w:t xml:space="preserve"> and three common to believers exclusively.</w:t>
      </w:r>
      <w:r>
        <w:rPr>
          <w:rStyle w:val="FootnoteReference"/>
          <w:rFonts w:ascii="Book Antiqua" w:eastAsia="Times New Roman" w:hAnsi="Book Antiqua" w:cs="Times New Roman"/>
        </w:rPr>
        <w:footnoteReference w:id="13"/>
      </w:r>
      <w:r w:rsidRPr="0037302E">
        <w:rPr>
          <w:rFonts w:ascii="Book Antiqua" w:eastAsia="Times New Roman" w:hAnsi="Book Antiqua" w:cs="Times New Roman"/>
        </w:rPr>
        <w:t xml:space="preserve"> </w:t>
      </w:r>
      <w:r>
        <w:rPr>
          <w:rFonts w:ascii="Book Antiqua" w:eastAsia="Times New Roman" w:hAnsi="Book Antiqua" w:cs="Times New Roman"/>
        </w:rPr>
        <w:t xml:space="preserve">Notice carefully what is asserted: “. . . yet it [i.e., </w:t>
      </w:r>
      <w:r>
        <w:rPr>
          <w:rFonts w:ascii="Book Antiqua" w:eastAsia="Times New Roman" w:hAnsi="Book Antiqua" w:cs="Times New Roman"/>
        </w:rPr>
        <w:lastRenderedPageBreak/>
        <w:t xml:space="preserve">“The moral law,” cf. 2LCF 19.5] is of great use to them [i.e., “true believers”] as well as to others [i.e., unbelievers], in that . . .” Then notice the shift to believers exclusively: “. . . it is likewise of use to the regenerate . . .” The fact that believers and unbelievers have uses of the moral law common to them implies that they have something else in common that is the ground or basis for these uses. Believers and unbelievers are both creatures, “being made after the image </w:t>
      </w:r>
      <w:proofErr w:type="gramStart"/>
      <w:r>
        <w:rPr>
          <w:rFonts w:ascii="Book Antiqua" w:eastAsia="Times New Roman" w:hAnsi="Book Antiqua" w:cs="Times New Roman"/>
        </w:rPr>
        <w:t>God, . . .</w:t>
      </w:r>
      <w:proofErr w:type="gramEnd"/>
      <w:r>
        <w:rPr>
          <w:rFonts w:ascii="Book Antiqua" w:eastAsia="Times New Roman" w:hAnsi="Book Antiqua" w:cs="Times New Roman"/>
        </w:rPr>
        <w:t xml:space="preserve"> having the law of God written in their hearts” (2LCF 4.2; see 4.3; 6.1; 19.1, 2, 5). Here is an outline of the</w:t>
      </w:r>
      <w:r w:rsidRPr="0037302E">
        <w:rPr>
          <w:rFonts w:ascii="Book Antiqua" w:eastAsia="Times New Roman" w:hAnsi="Book Antiqua" w:cs="Times New Roman"/>
        </w:rPr>
        <w:t xml:space="preserve"> uses</w:t>
      </w:r>
      <w:r>
        <w:rPr>
          <w:rFonts w:ascii="Book Antiqua" w:eastAsia="Times New Roman" w:hAnsi="Book Antiqua" w:cs="Times New Roman"/>
        </w:rPr>
        <w:t xml:space="preserve"> stated in 2LCF 19.6 and implied by 19.7</w:t>
      </w:r>
      <w:r w:rsidRPr="0037302E">
        <w:rPr>
          <w:rFonts w:ascii="Book Antiqua" w:eastAsia="Times New Roman" w:hAnsi="Book Antiqua" w:cs="Times New Roman"/>
        </w:rPr>
        <w:t>.</w:t>
      </w:r>
      <w:r w:rsidRPr="0037302E">
        <w:rPr>
          <w:rStyle w:val="FootnoteReference"/>
          <w:rFonts w:ascii="Book Antiqua" w:eastAsia="Times New Roman" w:hAnsi="Book Antiqua" w:cs="Times New Roman"/>
        </w:rPr>
        <w:footnoteReference w:id="14"/>
      </w:r>
    </w:p>
    <w:p w:rsidR="00C0511B" w:rsidRPr="0037302E" w:rsidRDefault="00C0511B" w:rsidP="00C0511B">
      <w:pPr>
        <w:spacing w:after="0" w:line="240" w:lineRule="auto"/>
        <w:jc w:val="both"/>
        <w:rPr>
          <w:rFonts w:ascii="Book Antiqua" w:eastAsia="Times New Roman" w:hAnsi="Book Antiqua" w:cs="Times New Roman"/>
        </w:rPr>
      </w:pPr>
    </w:p>
    <w:p w:rsidR="00C0511B" w:rsidRPr="0037302E" w:rsidRDefault="00C0511B" w:rsidP="00C0511B">
      <w:pPr>
        <w:spacing w:after="0" w:line="240" w:lineRule="auto"/>
        <w:ind w:left="360" w:right="360"/>
        <w:jc w:val="both"/>
        <w:rPr>
          <w:rFonts w:ascii="Book Antiqua" w:eastAsia="Times New Roman" w:hAnsi="Book Antiqua" w:cs="Times New Roman"/>
          <w:b/>
        </w:rPr>
      </w:pPr>
      <w:r w:rsidRPr="0037302E">
        <w:rPr>
          <w:rFonts w:ascii="Book Antiqua" w:eastAsia="Times New Roman" w:hAnsi="Book Antiqua" w:cs="Times New Roman"/>
          <w:b/>
        </w:rPr>
        <w:t>Uses Common to Believers and Unbelievers</w:t>
      </w:r>
    </w:p>
    <w:p w:rsidR="00C0511B" w:rsidRPr="0037302E" w:rsidRDefault="00C0511B" w:rsidP="00C0511B">
      <w:pPr>
        <w:spacing w:after="0" w:line="240" w:lineRule="auto"/>
        <w:ind w:left="360" w:right="360"/>
        <w:jc w:val="both"/>
        <w:rPr>
          <w:rFonts w:ascii="Book Antiqua" w:eastAsia="Times New Roman" w:hAnsi="Book Antiqua" w:cs="Times New Roman"/>
          <w:b/>
        </w:rPr>
      </w:pPr>
    </w:p>
    <w:p w:rsidR="00C0511B" w:rsidRPr="0037302E" w:rsidRDefault="00C0511B" w:rsidP="00C0511B">
      <w:pPr>
        <w:spacing w:after="0" w:line="240" w:lineRule="auto"/>
        <w:ind w:left="360" w:right="360"/>
        <w:jc w:val="both"/>
        <w:rPr>
          <w:rFonts w:ascii="Book Antiqua" w:eastAsia="Times New Roman" w:hAnsi="Book Antiqua" w:cs="Times New Roman"/>
        </w:rPr>
      </w:pPr>
      <w:r>
        <w:rPr>
          <w:rFonts w:ascii="Book Antiqua" w:eastAsia="Times New Roman" w:hAnsi="Book Antiqua" w:cs="Times New Roman"/>
        </w:rPr>
        <w:t xml:space="preserve">1. </w:t>
      </w:r>
      <w:proofErr w:type="gramStart"/>
      <w:r>
        <w:rPr>
          <w:rFonts w:ascii="Book Antiqua" w:eastAsia="Times New Roman" w:hAnsi="Book Antiqua" w:cs="Times New Roman"/>
        </w:rPr>
        <w:t>it</w:t>
      </w:r>
      <w:proofErr w:type="gramEnd"/>
      <w:r w:rsidRPr="0037302E">
        <w:rPr>
          <w:rFonts w:ascii="Book Antiqua" w:eastAsia="Times New Roman" w:hAnsi="Book Antiqua" w:cs="Times New Roman"/>
        </w:rPr>
        <w:t xml:space="preserve"> directs and binds as a rule of life: “in that as a </w:t>
      </w:r>
      <w:r w:rsidRPr="0037302E">
        <w:rPr>
          <w:rFonts w:ascii="Book Antiqua" w:eastAsia="Times New Roman" w:hAnsi="Book Antiqua" w:cs="Times New Roman"/>
          <w:b/>
        </w:rPr>
        <w:t>rule of life</w:t>
      </w:r>
      <w:r w:rsidRPr="0037302E">
        <w:rPr>
          <w:rFonts w:ascii="Book Antiqua" w:eastAsia="Times New Roman" w:hAnsi="Book Antiqua" w:cs="Times New Roman"/>
        </w:rPr>
        <w:t xml:space="preserve">, informing them of the will of God and their duty, it </w:t>
      </w:r>
      <w:r w:rsidRPr="0037302E">
        <w:rPr>
          <w:rFonts w:ascii="Book Antiqua" w:eastAsia="Times New Roman" w:hAnsi="Book Antiqua" w:cs="Times New Roman"/>
          <w:b/>
        </w:rPr>
        <w:t>directs</w:t>
      </w:r>
      <w:r w:rsidRPr="0037302E">
        <w:rPr>
          <w:rFonts w:ascii="Book Antiqua" w:eastAsia="Times New Roman" w:hAnsi="Book Antiqua" w:cs="Times New Roman"/>
        </w:rPr>
        <w:t xml:space="preserve"> and </w:t>
      </w:r>
      <w:r w:rsidRPr="0037302E">
        <w:rPr>
          <w:rFonts w:ascii="Book Antiqua" w:eastAsia="Times New Roman" w:hAnsi="Book Antiqua" w:cs="Times New Roman"/>
          <w:b/>
        </w:rPr>
        <w:t>binds</w:t>
      </w:r>
      <w:r w:rsidRPr="0037302E">
        <w:rPr>
          <w:rFonts w:ascii="Book Antiqua" w:eastAsia="Times New Roman" w:hAnsi="Book Antiqua" w:cs="Times New Roman"/>
        </w:rPr>
        <w:t xml:space="preserve"> them to walk accordingly; (Rom. 3:20; 7:7ff.)”</w:t>
      </w:r>
    </w:p>
    <w:p w:rsidR="00C0511B" w:rsidRPr="0037302E" w:rsidRDefault="00C0511B" w:rsidP="00C0511B">
      <w:pPr>
        <w:spacing w:after="0" w:line="240" w:lineRule="auto"/>
        <w:ind w:left="360" w:right="360"/>
        <w:jc w:val="both"/>
        <w:rPr>
          <w:rFonts w:ascii="Book Antiqua" w:eastAsia="Times New Roman" w:hAnsi="Book Antiqua" w:cs="Times New Roman"/>
        </w:rPr>
      </w:pPr>
      <w:r w:rsidRPr="0037302E">
        <w:rPr>
          <w:rFonts w:ascii="Book Antiqua" w:eastAsia="Times New Roman" w:hAnsi="Book Antiqua" w:cs="Times New Roman"/>
        </w:rPr>
        <w:t>2. it discovers sin within: “</w:t>
      </w:r>
      <w:r w:rsidRPr="0037302E">
        <w:rPr>
          <w:rFonts w:ascii="Book Antiqua" w:eastAsia="Times New Roman" w:hAnsi="Book Antiqua" w:cs="Times New Roman"/>
          <w:b/>
        </w:rPr>
        <w:t>discovering</w:t>
      </w:r>
      <w:r w:rsidRPr="0037302E">
        <w:rPr>
          <w:rFonts w:ascii="Book Antiqua" w:eastAsia="Times New Roman" w:hAnsi="Book Antiqua" w:cs="Times New Roman"/>
        </w:rPr>
        <w:t xml:space="preserve"> also the </w:t>
      </w:r>
      <w:r w:rsidRPr="0037302E">
        <w:rPr>
          <w:rFonts w:ascii="Book Antiqua" w:eastAsia="Times New Roman" w:hAnsi="Book Antiqua" w:cs="Times New Roman"/>
          <w:b/>
        </w:rPr>
        <w:t>sinful</w:t>
      </w:r>
      <w:r w:rsidRPr="0037302E">
        <w:rPr>
          <w:rFonts w:ascii="Book Antiqua" w:eastAsia="Times New Roman" w:hAnsi="Book Antiqua" w:cs="Times New Roman"/>
        </w:rPr>
        <w:t xml:space="preserve"> pollutions of their natures, hearts, and lives, so as examining themselves thereby, they may come to further conviction of, humiliation for, and hatred against, </w:t>
      </w:r>
      <w:r w:rsidRPr="0037302E">
        <w:rPr>
          <w:rFonts w:ascii="Book Antiqua" w:eastAsia="Times New Roman" w:hAnsi="Book Antiqua" w:cs="Times New Roman"/>
          <w:b/>
        </w:rPr>
        <w:t>sin</w:t>
      </w:r>
      <w:r w:rsidRPr="0037302E">
        <w:rPr>
          <w:rFonts w:ascii="Book Antiqua" w:eastAsia="Times New Roman" w:hAnsi="Book Antiqua" w:cs="Times New Roman"/>
        </w:rPr>
        <w:t>;”</w:t>
      </w:r>
    </w:p>
    <w:p w:rsidR="00C0511B" w:rsidRPr="0037302E" w:rsidRDefault="00C0511B" w:rsidP="00C0511B">
      <w:pPr>
        <w:spacing w:after="0" w:line="240" w:lineRule="auto"/>
        <w:ind w:left="360" w:right="360"/>
        <w:jc w:val="both"/>
        <w:rPr>
          <w:rFonts w:ascii="Book Antiqua" w:eastAsia="Times New Roman" w:hAnsi="Book Antiqua" w:cs="Times New Roman"/>
          <w:b/>
        </w:rPr>
      </w:pPr>
      <w:r w:rsidRPr="0037302E">
        <w:rPr>
          <w:rFonts w:ascii="Book Antiqua" w:eastAsia="Times New Roman" w:hAnsi="Book Antiqua" w:cs="Times New Roman"/>
        </w:rPr>
        <w:t xml:space="preserve">3. </w:t>
      </w:r>
      <w:proofErr w:type="gramStart"/>
      <w:r w:rsidRPr="0037302E">
        <w:rPr>
          <w:rFonts w:ascii="Book Antiqua" w:eastAsia="Times New Roman" w:hAnsi="Book Antiqua" w:cs="Times New Roman"/>
        </w:rPr>
        <w:t>it</w:t>
      </w:r>
      <w:proofErr w:type="gramEnd"/>
      <w:r w:rsidRPr="0037302E">
        <w:rPr>
          <w:rFonts w:ascii="Book Antiqua" w:eastAsia="Times New Roman" w:hAnsi="Book Antiqua" w:cs="Times New Roman"/>
        </w:rPr>
        <w:t xml:space="preserve"> points to a remedy without: “together with a clearer sight of </w:t>
      </w:r>
      <w:r w:rsidRPr="0037302E">
        <w:rPr>
          <w:rFonts w:ascii="Book Antiqua" w:eastAsia="Times New Roman" w:hAnsi="Book Antiqua" w:cs="Times New Roman"/>
          <w:b/>
        </w:rPr>
        <w:t>the need they have of Christ and the perfection of his obedience</w:t>
      </w:r>
      <w:r w:rsidRPr="0037302E">
        <w:rPr>
          <w:rFonts w:ascii="Book Antiqua" w:eastAsia="Times New Roman" w:hAnsi="Book Antiqua" w:cs="Times New Roman"/>
        </w:rPr>
        <w:t>;”</w:t>
      </w:r>
    </w:p>
    <w:p w:rsidR="00C0511B" w:rsidRPr="0037302E" w:rsidRDefault="00C0511B" w:rsidP="00C0511B">
      <w:pPr>
        <w:spacing w:after="0" w:line="240" w:lineRule="auto"/>
        <w:ind w:left="360" w:right="360"/>
        <w:jc w:val="both"/>
        <w:rPr>
          <w:rFonts w:ascii="Book Antiqua" w:eastAsia="Times New Roman" w:hAnsi="Book Antiqua" w:cs="Times New Roman"/>
          <w:b/>
        </w:rPr>
      </w:pPr>
    </w:p>
    <w:p w:rsidR="00C0511B" w:rsidRPr="0037302E" w:rsidRDefault="00C0511B" w:rsidP="00C0511B">
      <w:pPr>
        <w:spacing w:after="0" w:line="240" w:lineRule="auto"/>
        <w:ind w:left="360" w:right="360"/>
        <w:jc w:val="both"/>
        <w:rPr>
          <w:rFonts w:ascii="Book Antiqua" w:eastAsia="Times New Roman" w:hAnsi="Book Antiqua" w:cs="Times New Roman"/>
          <w:b/>
        </w:rPr>
      </w:pPr>
      <w:r w:rsidRPr="0037302E">
        <w:rPr>
          <w:rFonts w:ascii="Book Antiqua" w:eastAsia="Times New Roman" w:hAnsi="Book Antiqua" w:cs="Times New Roman"/>
          <w:b/>
        </w:rPr>
        <w:t>Uses Common to Believers Alone</w:t>
      </w:r>
    </w:p>
    <w:p w:rsidR="00C0511B" w:rsidRPr="0037302E" w:rsidRDefault="00C0511B" w:rsidP="00C0511B">
      <w:pPr>
        <w:spacing w:after="0" w:line="240" w:lineRule="auto"/>
        <w:ind w:left="360" w:right="360"/>
        <w:jc w:val="both"/>
        <w:rPr>
          <w:rFonts w:ascii="Book Antiqua" w:eastAsia="Times New Roman" w:hAnsi="Book Antiqua" w:cs="Times New Roman"/>
          <w:b/>
        </w:rPr>
      </w:pPr>
    </w:p>
    <w:p w:rsidR="00C0511B" w:rsidRPr="0037302E" w:rsidRDefault="00C0511B" w:rsidP="00C0511B">
      <w:pPr>
        <w:spacing w:after="0" w:line="240" w:lineRule="auto"/>
        <w:ind w:left="360" w:right="360"/>
        <w:jc w:val="both"/>
        <w:rPr>
          <w:rFonts w:ascii="Book Antiqua" w:eastAsia="Times New Roman" w:hAnsi="Book Antiqua" w:cs="Times New Roman"/>
        </w:rPr>
      </w:pPr>
      <w:r w:rsidRPr="0037302E">
        <w:rPr>
          <w:rFonts w:ascii="Book Antiqua" w:eastAsia="Times New Roman" w:hAnsi="Book Antiqua" w:cs="Times New Roman"/>
        </w:rPr>
        <w:t xml:space="preserve">4. </w:t>
      </w:r>
      <w:proofErr w:type="gramStart"/>
      <w:r w:rsidRPr="0037302E">
        <w:rPr>
          <w:rFonts w:ascii="Book Antiqua" w:eastAsia="Times New Roman" w:hAnsi="Book Antiqua" w:cs="Times New Roman"/>
        </w:rPr>
        <w:t>it</w:t>
      </w:r>
      <w:proofErr w:type="gramEnd"/>
      <w:r w:rsidRPr="0037302E">
        <w:rPr>
          <w:rFonts w:ascii="Book Antiqua" w:eastAsia="Times New Roman" w:hAnsi="Book Antiqua" w:cs="Times New Roman"/>
        </w:rPr>
        <w:t xml:space="preserve"> restrains corruption in believers by forbidding sin: “it is likewise of use to the regenerate </w:t>
      </w:r>
      <w:r w:rsidRPr="0037302E">
        <w:rPr>
          <w:rFonts w:ascii="Book Antiqua" w:eastAsia="Times New Roman" w:hAnsi="Book Antiqua" w:cs="Times New Roman"/>
          <w:b/>
        </w:rPr>
        <w:t>to restrain their corruptions</w:t>
      </w:r>
      <w:r w:rsidRPr="0037302E">
        <w:rPr>
          <w:rFonts w:ascii="Book Antiqua" w:eastAsia="Times New Roman" w:hAnsi="Book Antiqua" w:cs="Times New Roman"/>
        </w:rPr>
        <w:t xml:space="preserve">, in that </w:t>
      </w:r>
      <w:r w:rsidRPr="0037302E">
        <w:rPr>
          <w:rFonts w:ascii="Book Antiqua" w:eastAsia="Times New Roman" w:hAnsi="Book Antiqua" w:cs="Times New Roman"/>
          <w:b/>
        </w:rPr>
        <w:t>it forbids sin</w:t>
      </w:r>
      <w:r w:rsidRPr="0037302E">
        <w:rPr>
          <w:rFonts w:ascii="Book Antiqua" w:eastAsia="Times New Roman" w:hAnsi="Book Antiqua" w:cs="Times New Roman"/>
        </w:rPr>
        <w:t>;”</w:t>
      </w:r>
    </w:p>
    <w:p w:rsidR="00C0511B" w:rsidRPr="0037302E" w:rsidRDefault="00C0511B" w:rsidP="00C0511B">
      <w:pPr>
        <w:spacing w:after="0" w:line="240" w:lineRule="auto"/>
        <w:ind w:left="360" w:right="360"/>
        <w:jc w:val="both"/>
        <w:rPr>
          <w:rFonts w:ascii="Book Antiqua" w:eastAsia="Times New Roman" w:hAnsi="Book Antiqua" w:cs="Times New Roman"/>
        </w:rPr>
      </w:pPr>
      <w:r w:rsidRPr="0037302E">
        <w:rPr>
          <w:rFonts w:ascii="Book Antiqua" w:eastAsia="Times New Roman" w:hAnsi="Book Antiqua" w:cs="Times New Roman"/>
        </w:rPr>
        <w:t xml:space="preserve">5. it shows what the sins of believers deserve and what afflictions are to be expected in this life by its threatenings: “and </w:t>
      </w:r>
      <w:r w:rsidRPr="0037302E">
        <w:rPr>
          <w:rFonts w:ascii="Book Antiqua" w:eastAsia="Times New Roman" w:hAnsi="Book Antiqua" w:cs="Times New Roman"/>
          <w:b/>
        </w:rPr>
        <w:t>the threatenings</w:t>
      </w:r>
      <w:r w:rsidRPr="0037302E">
        <w:rPr>
          <w:rFonts w:ascii="Book Antiqua" w:eastAsia="Times New Roman" w:hAnsi="Book Antiqua" w:cs="Times New Roman"/>
        </w:rPr>
        <w:t xml:space="preserve"> of it </w:t>
      </w:r>
      <w:r w:rsidRPr="0037302E">
        <w:rPr>
          <w:rFonts w:ascii="Book Antiqua" w:eastAsia="Times New Roman" w:hAnsi="Book Antiqua" w:cs="Times New Roman"/>
          <w:b/>
        </w:rPr>
        <w:t>serve to shew</w:t>
      </w:r>
      <w:r w:rsidRPr="0037302E">
        <w:rPr>
          <w:rFonts w:ascii="Book Antiqua" w:eastAsia="Times New Roman" w:hAnsi="Book Antiqua" w:cs="Times New Roman"/>
        </w:rPr>
        <w:t xml:space="preserve"> what even their </w:t>
      </w:r>
      <w:r w:rsidRPr="0037302E">
        <w:rPr>
          <w:rFonts w:ascii="Book Antiqua" w:eastAsia="Times New Roman" w:hAnsi="Book Antiqua" w:cs="Times New Roman"/>
          <w:b/>
        </w:rPr>
        <w:t>sins deserve</w:t>
      </w:r>
      <w:r w:rsidRPr="0037302E">
        <w:rPr>
          <w:rFonts w:ascii="Book Antiqua" w:eastAsia="Times New Roman" w:hAnsi="Book Antiqua" w:cs="Times New Roman"/>
        </w:rPr>
        <w:t xml:space="preserve">, and what </w:t>
      </w:r>
      <w:r w:rsidRPr="0037302E">
        <w:rPr>
          <w:rFonts w:ascii="Book Antiqua" w:eastAsia="Times New Roman" w:hAnsi="Book Antiqua" w:cs="Times New Roman"/>
          <w:b/>
        </w:rPr>
        <w:t>afflictions</w:t>
      </w:r>
      <w:r w:rsidRPr="0037302E">
        <w:rPr>
          <w:rFonts w:ascii="Book Antiqua" w:eastAsia="Times New Roman" w:hAnsi="Book Antiqua" w:cs="Times New Roman"/>
        </w:rPr>
        <w:t xml:space="preserve"> in this life they may </w:t>
      </w:r>
      <w:r w:rsidRPr="0037302E">
        <w:rPr>
          <w:rFonts w:ascii="Book Antiqua" w:eastAsia="Times New Roman" w:hAnsi="Book Antiqua" w:cs="Times New Roman"/>
          <w:b/>
        </w:rPr>
        <w:t>expect</w:t>
      </w:r>
      <w:r w:rsidRPr="0037302E">
        <w:rPr>
          <w:rFonts w:ascii="Book Antiqua" w:eastAsia="Times New Roman" w:hAnsi="Book Antiqua" w:cs="Times New Roman"/>
        </w:rPr>
        <w:t xml:space="preserve"> for them, although freed from the curse and unallayed rigour thereof.”</w:t>
      </w:r>
    </w:p>
    <w:p w:rsidR="00C0511B" w:rsidRPr="0037302E" w:rsidRDefault="00C0511B" w:rsidP="00C0511B">
      <w:pPr>
        <w:spacing w:after="0" w:line="240" w:lineRule="auto"/>
        <w:ind w:left="360" w:right="360"/>
        <w:jc w:val="both"/>
        <w:rPr>
          <w:rFonts w:ascii="Book Antiqua" w:eastAsia="Times New Roman" w:hAnsi="Book Antiqua" w:cs="Times New Roman"/>
        </w:rPr>
      </w:pPr>
      <w:r w:rsidRPr="0037302E">
        <w:rPr>
          <w:rFonts w:ascii="Book Antiqua" w:eastAsia="Times New Roman" w:hAnsi="Book Antiqua" w:cs="Times New Roman"/>
        </w:rPr>
        <w:t xml:space="preserve">6. </w:t>
      </w:r>
      <w:proofErr w:type="gramStart"/>
      <w:r w:rsidRPr="0037302E">
        <w:rPr>
          <w:rFonts w:ascii="Book Antiqua" w:eastAsia="Times New Roman" w:hAnsi="Book Antiqua" w:cs="Times New Roman"/>
        </w:rPr>
        <w:t>it</w:t>
      </w:r>
      <w:proofErr w:type="gramEnd"/>
      <w:r w:rsidRPr="0037302E">
        <w:rPr>
          <w:rFonts w:ascii="Book Antiqua" w:eastAsia="Times New Roman" w:hAnsi="Book Antiqua" w:cs="Times New Roman"/>
        </w:rPr>
        <w:t xml:space="preserve"> shows believers God’s approbation of and expected blessings upon obedience by its promises: “The </w:t>
      </w:r>
      <w:r w:rsidRPr="0037302E">
        <w:rPr>
          <w:rFonts w:ascii="Book Antiqua" w:eastAsia="Times New Roman" w:hAnsi="Book Antiqua" w:cs="Times New Roman"/>
          <w:b/>
        </w:rPr>
        <w:t>promises</w:t>
      </w:r>
      <w:r w:rsidRPr="0037302E">
        <w:rPr>
          <w:rFonts w:ascii="Book Antiqua" w:eastAsia="Times New Roman" w:hAnsi="Book Antiqua" w:cs="Times New Roman"/>
        </w:rPr>
        <w:t xml:space="preserve"> of it likewise </w:t>
      </w:r>
      <w:r w:rsidRPr="0037302E">
        <w:rPr>
          <w:rFonts w:ascii="Book Antiqua" w:eastAsia="Times New Roman" w:hAnsi="Book Antiqua" w:cs="Times New Roman"/>
          <w:b/>
        </w:rPr>
        <w:t>shew</w:t>
      </w:r>
      <w:r w:rsidRPr="0037302E">
        <w:rPr>
          <w:rFonts w:ascii="Book Antiqua" w:eastAsia="Times New Roman" w:hAnsi="Book Antiqua" w:cs="Times New Roman"/>
        </w:rPr>
        <w:t xml:space="preserve"> them </w:t>
      </w:r>
      <w:r w:rsidRPr="0037302E">
        <w:rPr>
          <w:rFonts w:ascii="Book Antiqua" w:eastAsia="Times New Roman" w:hAnsi="Book Antiqua" w:cs="Times New Roman"/>
          <w:b/>
        </w:rPr>
        <w:t>God’s approbation of obedience</w:t>
      </w:r>
      <w:r w:rsidRPr="0037302E">
        <w:rPr>
          <w:rFonts w:ascii="Book Antiqua" w:eastAsia="Times New Roman" w:hAnsi="Book Antiqua" w:cs="Times New Roman"/>
        </w:rPr>
        <w:t xml:space="preserve">, and </w:t>
      </w:r>
      <w:r w:rsidRPr="0037302E">
        <w:rPr>
          <w:rFonts w:ascii="Book Antiqua" w:eastAsia="Times New Roman" w:hAnsi="Book Antiqua" w:cs="Times New Roman"/>
          <w:b/>
        </w:rPr>
        <w:t>what blessings they may expect</w:t>
      </w:r>
      <w:r w:rsidRPr="0037302E">
        <w:rPr>
          <w:rFonts w:ascii="Book Antiqua" w:eastAsia="Times New Roman" w:hAnsi="Book Antiqua" w:cs="Times New Roman"/>
        </w:rPr>
        <w:t xml:space="preserve"> upon the </w:t>
      </w:r>
      <w:r w:rsidRPr="0037302E">
        <w:rPr>
          <w:rFonts w:ascii="Book Antiqua" w:eastAsia="Times New Roman" w:hAnsi="Book Antiqua" w:cs="Times New Roman"/>
          <w:b/>
        </w:rPr>
        <w:t>performance</w:t>
      </w:r>
      <w:r w:rsidRPr="0037302E">
        <w:rPr>
          <w:rFonts w:ascii="Book Antiqua" w:eastAsia="Times New Roman" w:hAnsi="Book Antiqua" w:cs="Times New Roman"/>
        </w:rPr>
        <w:t xml:space="preserve"> thereof, though not as due to them by the law as a covenant of works;”</w:t>
      </w:r>
    </w:p>
    <w:p w:rsidR="00C0511B" w:rsidRPr="00FD54CA" w:rsidRDefault="00C0511B" w:rsidP="00C0511B">
      <w:pPr>
        <w:spacing w:after="0" w:line="240" w:lineRule="auto"/>
        <w:jc w:val="both"/>
        <w:rPr>
          <w:rFonts w:ascii="Book Antiqua" w:eastAsia="Times New Roman" w:hAnsi="Book Antiqua" w:cs="Times New Roman"/>
          <w:sz w:val="30"/>
          <w:szCs w:val="30"/>
        </w:rPr>
      </w:pPr>
    </w:p>
    <w:p w:rsidR="00C0511B" w:rsidRPr="00784D45" w:rsidRDefault="00C0511B" w:rsidP="00C0511B">
      <w:pPr>
        <w:spacing w:after="0" w:line="240" w:lineRule="auto"/>
        <w:jc w:val="center"/>
        <w:rPr>
          <w:rFonts w:ascii="Book Antiqua" w:eastAsia="Times New Roman" w:hAnsi="Book Antiqua" w:cs="Times New Roman"/>
          <w:b/>
          <w:sz w:val="26"/>
          <w:szCs w:val="26"/>
        </w:rPr>
      </w:pPr>
      <w:r w:rsidRPr="00784D45">
        <w:rPr>
          <w:rFonts w:ascii="Book Antiqua" w:hAnsi="Book Antiqua"/>
          <w:b/>
          <w:sz w:val="26"/>
          <w:szCs w:val="26"/>
        </w:rPr>
        <w:t>The Sweet Compliance of these Uses “with the Grace of the Gospel”</w:t>
      </w:r>
    </w:p>
    <w:p w:rsidR="00C0511B" w:rsidRPr="0037302E" w:rsidRDefault="00C0511B" w:rsidP="00C0511B">
      <w:pPr>
        <w:spacing w:after="0" w:line="240" w:lineRule="auto"/>
        <w:jc w:val="both"/>
        <w:rPr>
          <w:rFonts w:ascii="Book Antiqua" w:eastAsia="Times New Roman" w:hAnsi="Book Antiqua" w:cs="Times New Roman"/>
        </w:rPr>
      </w:pPr>
    </w:p>
    <w:p w:rsidR="00C0511B" w:rsidRDefault="00C0511B" w:rsidP="00C0511B">
      <w:pPr>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The specific issue we are focusing on is how these uses “sweetly comply with” “the grace of the Gospel.” What is meant by “sweetly comply”? I take this to mean </w:t>
      </w:r>
      <w:r w:rsidRPr="0011231A">
        <w:rPr>
          <w:rFonts w:ascii="Book Antiqua" w:eastAsia="Times New Roman" w:hAnsi="Book Antiqua" w:cs="Times New Roman"/>
          <w:i/>
        </w:rPr>
        <w:t xml:space="preserve">assuredly agree with </w:t>
      </w:r>
      <w:r>
        <w:rPr>
          <w:rFonts w:ascii="Book Antiqua" w:eastAsia="Times New Roman" w:hAnsi="Book Antiqua" w:cs="Times New Roman"/>
        </w:rPr>
        <w:t xml:space="preserve">or </w:t>
      </w:r>
      <w:r w:rsidRPr="0011231A">
        <w:rPr>
          <w:rFonts w:ascii="Book Antiqua" w:eastAsia="Times New Roman" w:hAnsi="Book Antiqua" w:cs="Times New Roman"/>
          <w:i/>
        </w:rPr>
        <w:t>not to contradict in any fashion</w:t>
      </w:r>
      <w:r>
        <w:rPr>
          <w:rFonts w:ascii="Book Antiqua" w:eastAsia="Times New Roman" w:hAnsi="Book Antiqua" w:cs="Times New Roman"/>
        </w:rPr>
        <w:t>. The assertion is that the uses of the moral law stated in 19.6 do not in any way contradict “the grace of the Gospel.” To what is “the grace of the Gospel” in this context referring? Notice it does not say “the Gospel.” The “grace of” refers to that which comes to believing sinners as a result of the gospel believed.</w:t>
      </w:r>
      <w:r>
        <w:rPr>
          <w:rStyle w:val="FootnoteReference"/>
          <w:rFonts w:ascii="Book Antiqua" w:eastAsia="Times New Roman" w:hAnsi="Book Antiqua" w:cs="Times New Roman"/>
        </w:rPr>
        <w:footnoteReference w:id="15"/>
      </w:r>
      <w:r>
        <w:rPr>
          <w:rFonts w:ascii="Book Antiqua" w:eastAsia="Times New Roman" w:hAnsi="Book Antiqua" w:cs="Times New Roman"/>
        </w:rPr>
        <w:t xml:space="preserve"> It is “grace” which comes by virtue of the gospel believed. Recall that the Confession is dealing with present believers in 19.7. The “grace of the Gospel” refers not to redemption accomplished (or the announcement of it), but to redemption applied (i.e., the benefits of Christ). This “grace of the Gospel” refers not to the message to be believed; it refers to the grace which comes to believers, those having believed. In other words, “the grace of the Gospel” is that which comes to believing sinners and is given to </w:t>
      </w:r>
      <w:r>
        <w:rPr>
          <w:rFonts w:ascii="Book Antiqua" w:eastAsia="Times New Roman" w:hAnsi="Book Antiqua" w:cs="Times New Roman"/>
        </w:rPr>
        <w:lastRenderedPageBreak/>
        <w:t>them. This is referring to the Spirit-enabled obedience of believers and unique to them.</w:t>
      </w:r>
      <w:r>
        <w:rPr>
          <w:rStyle w:val="FootnoteReference"/>
          <w:rFonts w:ascii="Book Antiqua" w:eastAsia="Times New Roman" w:hAnsi="Book Antiqua" w:cs="Times New Roman"/>
        </w:rPr>
        <w:footnoteReference w:id="16"/>
      </w:r>
      <w:r>
        <w:rPr>
          <w:rFonts w:ascii="Book Antiqua" w:eastAsia="Times New Roman" w:hAnsi="Book Antiqua" w:cs="Times New Roman"/>
        </w:rPr>
        <w:t xml:space="preserve"> This should become clearer as we continue the discussion. Let’s take a closer look at the paragraph.</w:t>
      </w:r>
    </w:p>
    <w:p w:rsidR="00C0511B" w:rsidRPr="0037302E" w:rsidRDefault="00C0511B" w:rsidP="00C0511B">
      <w:pPr>
        <w:spacing w:after="0" w:line="240" w:lineRule="auto"/>
        <w:ind w:firstLine="360"/>
        <w:jc w:val="both"/>
        <w:rPr>
          <w:rFonts w:ascii="Book Antiqua" w:eastAsia="Times New Roman" w:hAnsi="Book Antiqua" w:cs="Times New Roman"/>
        </w:rPr>
      </w:pPr>
      <w:r w:rsidRPr="0037302E">
        <w:rPr>
          <w:rFonts w:ascii="Book Antiqua" w:eastAsia="Times New Roman" w:hAnsi="Book Antiqua" w:cs="Times New Roman"/>
        </w:rPr>
        <w:t>The paragraph has a denial and an affirmation, as noted in the outline above. Here is 2LCF 19.7 again:</w:t>
      </w:r>
    </w:p>
    <w:p w:rsidR="00C0511B" w:rsidRPr="0037302E" w:rsidRDefault="00C0511B" w:rsidP="00C0511B">
      <w:pPr>
        <w:spacing w:after="0" w:line="240" w:lineRule="auto"/>
        <w:jc w:val="both"/>
        <w:rPr>
          <w:rFonts w:ascii="Book Antiqua" w:eastAsia="Times New Roman" w:hAnsi="Book Antiqua" w:cs="Times New Roman"/>
        </w:rPr>
      </w:pPr>
    </w:p>
    <w:p w:rsidR="00C0511B" w:rsidRPr="0037302E" w:rsidRDefault="00C0511B" w:rsidP="00C0511B">
      <w:pPr>
        <w:spacing w:after="0" w:line="240" w:lineRule="auto"/>
        <w:ind w:left="360" w:right="360"/>
        <w:jc w:val="both"/>
        <w:rPr>
          <w:rFonts w:ascii="Book Antiqua" w:eastAsia="Times New Roman" w:hAnsi="Book Antiqua" w:cs="Times New Roman"/>
        </w:rPr>
      </w:pPr>
      <w:r w:rsidRPr="0037302E">
        <w:rPr>
          <w:rFonts w:ascii="Book Antiqua" w:eastAsia="Times New Roman" w:hAnsi="Book Antiqua" w:cs="Times New Roman"/>
        </w:rPr>
        <w:t>7. Neither are the aforementioned uses of the law (Gal. 3:21) contrary to the grace of the Gospel, but do sweetly comply with it, the Spirit of Christ subduing (Ezek. 36:27) and enabling the will of man to do that freely and cheerfully which the will of God, revealed in the law, requireth to be done.</w:t>
      </w:r>
    </w:p>
    <w:p w:rsidR="00C0511B" w:rsidRPr="0037302E" w:rsidRDefault="00C0511B" w:rsidP="00C0511B">
      <w:pPr>
        <w:spacing w:after="0" w:line="240" w:lineRule="auto"/>
        <w:jc w:val="both"/>
        <w:rPr>
          <w:rFonts w:ascii="Book Antiqua" w:eastAsia="Times New Roman" w:hAnsi="Book Antiqua" w:cs="Times New Roman"/>
        </w:rPr>
      </w:pPr>
    </w:p>
    <w:p w:rsidR="00C0511B" w:rsidRDefault="00C0511B" w:rsidP="00C0511B">
      <w:pPr>
        <w:spacing w:after="0" w:line="240" w:lineRule="auto"/>
        <w:jc w:val="both"/>
        <w:rPr>
          <w:rFonts w:ascii="Book Antiqua" w:eastAsia="Times New Roman" w:hAnsi="Book Antiqua" w:cs="Times New Roman"/>
        </w:rPr>
      </w:pPr>
      <w:r w:rsidRPr="0037302E">
        <w:rPr>
          <w:rFonts w:ascii="Book Antiqua" w:eastAsia="Times New Roman" w:hAnsi="Book Antiqua" w:cs="Times New Roman"/>
        </w:rPr>
        <w:t xml:space="preserve">The paragraph denies that the uses of the </w:t>
      </w:r>
      <w:r>
        <w:rPr>
          <w:rFonts w:ascii="Book Antiqua" w:eastAsia="Times New Roman" w:hAnsi="Book Antiqua" w:cs="Times New Roman"/>
        </w:rPr>
        <w:t xml:space="preserve">moral </w:t>
      </w:r>
      <w:r w:rsidRPr="0037302E">
        <w:rPr>
          <w:rFonts w:ascii="Book Antiqua" w:eastAsia="Times New Roman" w:hAnsi="Book Antiqua" w:cs="Times New Roman"/>
        </w:rPr>
        <w:t xml:space="preserve">law for believers mentioned in </w:t>
      </w:r>
      <w:r>
        <w:rPr>
          <w:rFonts w:ascii="Book Antiqua" w:eastAsia="Times New Roman" w:hAnsi="Book Antiqua" w:cs="Times New Roman"/>
        </w:rPr>
        <w:t>19.6</w:t>
      </w:r>
      <w:r w:rsidRPr="0037302E">
        <w:rPr>
          <w:rFonts w:ascii="Book Antiqua" w:eastAsia="Times New Roman" w:hAnsi="Book Antiqua" w:cs="Times New Roman"/>
        </w:rPr>
        <w:t xml:space="preserve"> are “contrary to the grace of the Gospel.” It affirms that the various us</w:t>
      </w:r>
      <w:r>
        <w:rPr>
          <w:rFonts w:ascii="Book Antiqua" w:eastAsia="Times New Roman" w:hAnsi="Book Antiqua" w:cs="Times New Roman"/>
        </w:rPr>
        <w:t>es “do sweetly comply with it</w:t>
      </w:r>
      <w:r w:rsidRPr="0037302E">
        <w:rPr>
          <w:rFonts w:ascii="Book Antiqua" w:eastAsia="Times New Roman" w:hAnsi="Book Antiqua" w:cs="Times New Roman"/>
        </w:rPr>
        <w:t>.</w:t>
      </w:r>
      <w:r>
        <w:rPr>
          <w:rFonts w:ascii="Book Antiqua" w:eastAsia="Times New Roman" w:hAnsi="Book Antiqua" w:cs="Times New Roman"/>
        </w:rPr>
        <w:t>”</w:t>
      </w:r>
      <w:r w:rsidRPr="0037302E">
        <w:rPr>
          <w:rFonts w:ascii="Book Antiqua" w:eastAsia="Times New Roman" w:hAnsi="Book Antiqua" w:cs="Times New Roman"/>
        </w:rPr>
        <w:t xml:space="preserve"> The denial is explained by the affirmation. We know that the uses of</w:t>
      </w:r>
      <w:r>
        <w:rPr>
          <w:rFonts w:ascii="Book Antiqua" w:eastAsia="Times New Roman" w:hAnsi="Book Antiqua" w:cs="Times New Roman"/>
        </w:rPr>
        <w:t xml:space="preserve"> the moral law mentioned in 19.</w:t>
      </w:r>
      <w:r w:rsidRPr="0037302E">
        <w:rPr>
          <w:rFonts w:ascii="Book Antiqua" w:eastAsia="Times New Roman" w:hAnsi="Book Antiqua" w:cs="Times New Roman"/>
        </w:rPr>
        <w:t>6 are not “contrary to the grace of the Gospel” because of the work of the Holy Spirit in the souls of Christ’s people as that relates them to the law of God. In other words, “the grace of the Gospel” in this context is concentrating on “the Spirit of Christ subduing and enabling” believers as they are related to the law of God. It is the Spirit of Christ who changes the people of Christ that they might obey the law of Christ.</w:t>
      </w:r>
      <w:r>
        <w:rPr>
          <w:rFonts w:ascii="Book Antiqua" w:eastAsia="Times New Roman" w:hAnsi="Book Antiqua" w:cs="Times New Roman"/>
        </w:rPr>
        <w:t xml:space="preserve"> I</w:t>
      </w:r>
      <w:r w:rsidRPr="0037302E">
        <w:rPr>
          <w:rFonts w:ascii="Book Antiqua" w:eastAsia="Times New Roman" w:hAnsi="Book Antiqua" w:cs="Times New Roman"/>
        </w:rPr>
        <w:t xml:space="preserve"> </w:t>
      </w:r>
      <w:r>
        <w:rPr>
          <w:rFonts w:ascii="Book Antiqua" w:eastAsia="Times New Roman" w:hAnsi="Book Antiqua" w:cs="Times New Roman"/>
        </w:rPr>
        <w:t xml:space="preserve">ask again, to </w:t>
      </w:r>
      <w:r w:rsidRPr="0037302E">
        <w:rPr>
          <w:rFonts w:ascii="Book Antiqua" w:eastAsia="Times New Roman" w:hAnsi="Book Antiqua" w:cs="Times New Roman"/>
        </w:rPr>
        <w:t xml:space="preserve">what does “the grace of the Gospel” refer </w:t>
      </w:r>
      <w:r>
        <w:rPr>
          <w:rFonts w:ascii="Book Antiqua" w:eastAsia="Times New Roman" w:hAnsi="Book Antiqua" w:cs="Times New Roman"/>
        </w:rPr>
        <w:t>in its context? It refers to</w:t>
      </w:r>
      <w:r w:rsidRPr="0037302E">
        <w:rPr>
          <w:rFonts w:ascii="Book Antiqua" w:eastAsia="Times New Roman" w:hAnsi="Book Antiqua" w:cs="Times New Roman"/>
        </w:rPr>
        <w:t xml:space="preserve"> benefits brought to us by the Spirit of Christ. The “grace of the Gospel” includes, though is certainly not exhausted by, what the Spirit of Christ does to and in believers to relate them to the law of God. This means that believers do not relate to the law of God like unbelievers</w:t>
      </w:r>
      <w:r>
        <w:rPr>
          <w:rFonts w:ascii="Book Antiqua" w:eastAsia="Times New Roman" w:hAnsi="Book Antiqua" w:cs="Times New Roman"/>
        </w:rPr>
        <w:t xml:space="preserve"> in all senses</w:t>
      </w:r>
      <w:r w:rsidRPr="0037302E">
        <w:rPr>
          <w:rFonts w:ascii="Book Antiqua" w:eastAsia="Times New Roman" w:hAnsi="Book Antiqua" w:cs="Times New Roman"/>
        </w:rPr>
        <w:t>.</w:t>
      </w:r>
      <w:r>
        <w:rPr>
          <w:rFonts w:ascii="Book Antiqua" w:eastAsia="Times New Roman" w:hAnsi="Book Antiqua" w:cs="Times New Roman"/>
        </w:rPr>
        <w:t xml:space="preserve"> Recall 2LCF 19.6, where we confess, “. . . true believers be not under the law as a covenant of works, to be thereby justified or condemned.”That this is the intent of the words under consideration seems clear from the reference to Ezekiel 36:27</w:t>
      </w:r>
      <w:r w:rsidRPr="00230DDB">
        <w:rPr>
          <w:rFonts w:ascii="Book Antiqua" w:eastAsia="Times New Roman" w:hAnsi="Book Antiqua" w:cs="Times New Roman"/>
        </w:rPr>
        <w:t>, which reads, “</w:t>
      </w:r>
      <w:r w:rsidRPr="00230DDB">
        <w:rPr>
          <w:rFonts w:ascii="Book Antiqua" w:hAnsi="Book Antiqua" w:cs="Arial"/>
          <w:lang w:bidi="he-IL"/>
        </w:rPr>
        <w:t>I will put My Spirit within you and cause you to walk in My statutes, and you will be careful to observ</w:t>
      </w:r>
      <w:r>
        <w:rPr>
          <w:rFonts w:ascii="Book Antiqua" w:hAnsi="Book Antiqua" w:cs="Arial"/>
          <w:lang w:bidi="he-IL"/>
        </w:rPr>
        <w:t>e My ordinances” (NAU 1995).  By virtue of the citation of Ezekiel 36:26-27 in 2LCF 7.2, we learn that our framers viewed Ezekiel’s words as part of that which is promised in the covenant of grace.</w:t>
      </w:r>
      <w:r>
        <w:rPr>
          <w:rStyle w:val="FootnoteReference"/>
          <w:rFonts w:ascii="Book Antiqua" w:hAnsi="Book Antiqua" w:cs="Arial"/>
          <w:lang w:bidi="he-IL"/>
        </w:rPr>
        <w:footnoteReference w:id="17"/>
      </w:r>
    </w:p>
    <w:p w:rsidR="00C0511B" w:rsidRPr="0037302E" w:rsidRDefault="00C0511B" w:rsidP="00C0511B">
      <w:pPr>
        <w:spacing w:after="0" w:line="240" w:lineRule="auto"/>
        <w:ind w:firstLine="360"/>
        <w:jc w:val="both"/>
        <w:rPr>
          <w:rFonts w:ascii="Book Antiqua" w:eastAsia="Times New Roman" w:hAnsi="Book Antiqua" w:cs="Times New Roman"/>
        </w:rPr>
      </w:pPr>
      <w:r w:rsidRPr="0037302E">
        <w:rPr>
          <w:rFonts w:ascii="Book Antiqua" w:eastAsia="Times New Roman" w:hAnsi="Book Antiqua" w:cs="Times New Roman"/>
        </w:rPr>
        <w:t>This paragraph is a wonderful testimony to the doctrine of the work of the Holy Spirit in the application of redemption</w:t>
      </w:r>
      <w:r>
        <w:rPr>
          <w:rFonts w:ascii="Book Antiqua" w:eastAsia="Times New Roman" w:hAnsi="Book Antiqua" w:cs="Times New Roman"/>
        </w:rPr>
        <w:t xml:space="preserve"> in relating believers to the moral law of God</w:t>
      </w:r>
      <w:r w:rsidRPr="0037302E">
        <w:rPr>
          <w:rFonts w:ascii="Book Antiqua" w:eastAsia="Times New Roman" w:hAnsi="Book Antiqua" w:cs="Times New Roman"/>
        </w:rPr>
        <w:t>. The Spirit of Christ empowers the people of Christ to do the will of Christ.</w:t>
      </w:r>
      <w:r>
        <w:rPr>
          <w:rFonts w:ascii="Book Antiqua" w:eastAsia="Times New Roman" w:hAnsi="Book Antiqua" w:cs="Times New Roman"/>
        </w:rPr>
        <w:t xml:space="preserve"> As A. A. Hodge asserts, “In respect to regenerate men, the law continues to be indispensable as the instrument of the Holy Ghost in the work of their sanctification.”</w:t>
      </w:r>
      <w:r>
        <w:rPr>
          <w:rStyle w:val="FootnoteReference"/>
          <w:rFonts w:ascii="Book Antiqua" w:eastAsia="Times New Roman" w:hAnsi="Book Antiqua" w:cs="Times New Roman"/>
        </w:rPr>
        <w:footnoteReference w:id="18"/>
      </w:r>
      <w:r>
        <w:rPr>
          <w:rFonts w:ascii="Book Antiqua" w:eastAsia="Times New Roman" w:hAnsi="Book Antiqua" w:cs="Times New Roman"/>
        </w:rPr>
        <w:t xml:space="preserve"> This comports with other assertions of our Confession. For example, 2LCF 16.3 says of the good works of believers, “Their ability to do good works is not at all of themselves, but wholly from the Spirit of Christ . . .” In 16.5, we read of the good works of believers, “. . . because they are good they proceed from his Spirit . . .” The reason why the uses of the moral law stated in 19.6 are not “contrary to the grace of the Gospel” is due to the work of the Spirit of Christ in believers, “</w:t>
      </w:r>
      <w:r w:rsidRPr="0037302E">
        <w:rPr>
          <w:rFonts w:ascii="Book Antiqua" w:eastAsia="Times New Roman" w:hAnsi="Book Antiqua" w:cs="Times New Roman"/>
        </w:rPr>
        <w:t>subduing (Ezek. 36:27) and enabling the will of man to do that freely and cheerfully which the will of God, revealed in the law, requireth to be done.</w:t>
      </w:r>
      <w:r>
        <w:rPr>
          <w:rFonts w:ascii="Book Antiqua" w:eastAsia="Times New Roman" w:hAnsi="Book Antiqua" w:cs="Times New Roman"/>
        </w:rPr>
        <w:t>”</w:t>
      </w:r>
    </w:p>
    <w:p w:rsidR="00C0511B" w:rsidRPr="00FD54CA" w:rsidRDefault="00C0511B" w:rsidP="00C0511B">
      <w:pPr>
        <w:spacing w:after="0" w:line="240" w:lineRule="auto"/>
        <w:jc w:val="both"/>
        <w:rPr>
          <w:rFonts w:ascii="Book Antiqua" w:eastAsia="Times New Roman" w:hAnsi="Book Antiqua" w:cs="Times New Roman"/>
          <w:sz w:val="52"/>
          <w:szCs w:val="52"/>
        </w:rPr>
      </w:pPr>
    </w:p>
    <w:p w:rsidR="00C0511B" w:rsidRPr="00784D45" w:rsidRDefault="00C0511B" w:rsidP="00C0511B">
      <w:pPr>
        <w:spacing w:after="0" w:line="240" w:lineRule="auto"/>
        <w:jc w:val="center"/>
        <w:rPr>
          <w:rFonts w:ascii="Book Antiqua" w:eastAsia="Times New Roman" w:hAnsi="Book Antiqua" w:cs="Times New Roman"/>
          <w:b/>
          <w:sz w:val="26"/>
          <w:szCs w:val="26"/>
        </w:rPr>
      </w:pPr>
      <w:r w:rsidRPr="00784D45">
        <w:rPr>
          <w:rFonts w:ascii="Book Antiqua" w:eastAsia="Times New Roman" w:hAnsi="Book Antiqua" w:cs="Times New Roman"/>
          <w:b/>
          <w:sz w:val="26"/>
          <w:szCs w:val="26"/>
        </w:rPr>
        <w:lastRenderedPageBreak/>
        <w:t>Theological and Practical Conclusions</w:t>
      </w:r>
    </w:p>
    <w:p w:rsidR="00C0511B" w:rsidRPr="0037302E" w:rsidRDefault="00C0511B" w:rsidP="00C0511B">
      <w:pPr>
        <w:spacing w:after="0" w:line="240" w:lineRule="auto"/>
        <w:jc w:val="center"/>
        <w:rPr>
          <w:rFonts w:ascii="Book Antiqua" w:eastAsia="Times New Roman" w:hAnsi="Book Antiqua" w:cs="Times New Roman"/>
          <w:b/>
        </w:rPr>
      </w:pPr>
    </w:p>
    <w:p w:rsidR="00C0511B" w:rsidRPr="00F41647" w:rsidRDefault="00C0511B" w:rsidP="00C0511B">
      <w:pPr>
        <w:spacing w:after="0" w:line="240" w:lineRule="auto"/>
        <w:jc w:val="both"/>
        <w:rPr>
          <w:rFonts w:ascii="Book Antiqua" w:eastAsia="Times New Roman" w:hAnsi="Book Antiqua" w:cs="Times New Roman"/>
          <w:b/>
          <w:i/>
        </w:rPr>
      </w:pPr>
      <w:r w:rsidRPr="00F41647">
        <w:rPr>
          <w:rFonts w:ascii="Book Antiqua" w:eastAsia="Times New Roman" w:hAnsi="Book Antiqua" w:cs="Times New Roman"/>
          <w:b/>
          <w:i/>
        </w:rPr>
        <w:t xml:space="preserve">Understanding the terms and concepts assumed by </w:t>
      </w:r>
      <w:r>
        <w:rPr>
          <w:rFonts w:ascii="Book Antiqua" w:eastAsia="Times New Roman" w:hAnsi="Book Antiqua" w:cs="Times New Roman"/>
          <w:b/>
          <w:i/>
        </w:rPr>
        <w:t>our Confession</w:t>
      </w:r>
      <w:r w:rsidRPr="00F41647">
        <w:rPr>
          <w:rFonts w:ascii="Book Antiqua" w:eastAsia="Times New Roman" w:hAnsi="Book Antiqua" w:cs="Times New Roman"/>
          <w:b/>
          <w:i/>
        </w:rPr>
        <w:t xml:space="preserve"> in this discussion helps our understanding of the doctrinal formulation contained in 2LCF 19.7.</w:t>
      </w:r>
    </w:p>
    <w:p w:rsidR="00C0511B" w:rsidRDefault="00C0511B" w:rsidP="00C0511B">
      <w:pPr>
        <w:spacing w:after="0" w:line="240" w:lineRule="auto"/>
        <w:jc w:val="both"/>
        <w:rPr>
          <w:rFonts w:ascii="Book Antiqua" w:eastAsia="Times New Roman" w:hAnsi="Book Antiqua" w:cs="Times New Roman"/>
        </w:rPr>
      </w:pPr>
    </w:p>
    <w:p w:rsidR="00C0511B" w:rsidRDefault="00C0511B" w:rsidP="00C0511B">
      <w:pPr>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We must recognize that the use of technical language is important. All subjects of inquiry utilize such. Our Confession utilizes terms and concepts which must be understood in order to grasp its meaning as intended. Doing the work of opening up Muller’s </w:t>
      </w:r>
      <w:r w:rsidRPr="00F41647">
        <w:rPr>
          <w:rFonts w:ascii="Book Antiqua" w:eastAsia="Times New Roman" w:hAnsi="Book Antiqua" w:cs="Times New Roman"/>
          <w:i/>
        </w:rPr>
        <w:t>Dictionary</w:t>
      </w:r>
      <w:r>
        <w:rPr>
          <w:rFonts w:ascii="Book Antiqua" w:eastAsia="Times New Roman" w:hAnsi="Book Antiqua" w:cs="Times New Roman"/>
        </w:rPr>
        <w:t xml:space="preserve"> and reading various entries can pay off dividends for years to come. Not only will it stock our minds with the technical language utilized in (and often assumed by) our Confession, it will help us understand its intent more clearly. For example, contemporary readers might take the word “law” in 19.7 and assume it means the Mosaic covenant. A little work behind the scenes will help to keep us from falling into idiosyncratic or anachronistic interpretations of our Confession.</w:t>
      </w:r>
    </w:p>
    <w:p w:rsidR="00C0511B" w:rsidRPr="00F41647" w:rsidRDefault="00C0511B" w:rsidP="00C0511B">
      <w:pPr>
        <w:spacing w:after="0" w:line="240" w:lineRule="auto"/>
        <w:jc w:val="both"/>
        <w:rPr>
          <w:rFonts w:ascii="Book Antiqua" w:eastAsia="Times New Roman" w:hAnsi="Book Antiqua" w:cs="Times New Roman"/>
        </w:rPr>
      </w:pPr>
    </w:p>
    <w:p w:rsidR="00C0511B" w:rsidRPr="00530D58" w:rsidRDefault="00C0511B" w:rsidP="00C0511B">
      <w:pPr>
        <w:spacing w:after="0" w:line="240" w:lineRule="auto"/>
        <w:jc w:val="both"/>
        <w:rPr>
          <w:rFonts w:ascii="Book Antiqua" w:eastAsia="Times New Roman" w:hAnsi="Book Antiqua" w:cs="Times New Roman"/>
          <w:b/>
          <w:i/>
        </w:rPr>
      </w:pPr>
      <w:r w:rsidRPr="00530D58">
        <w:rPr>
          <w:rFonts w:ascii="Book Antiqua" w:eastAsia="Times New Roman" w:hAnsi="Book Antiqua" w:cs="Times New Roman"/>
          <w:b/>
          <w:i/>
        </w:rPr>
        <w:t>U</w:t>
      </w:r>
      <w:r>
        <w:rPr>
          <w:rFonts w:ascii="Book Antiqua" w:eastAsia="Times New Roman" w:hAnsi="Book Antiqua" w:cs="Times New Roman"/>
          <w:b/>
          <w:i/>
        </w:rPr>
        <w:t>nderstanding 2LCF 19.7 properly</w:t>
      </w:r>
      <w:r w:rsidRPr="00530D58">
        <w:rPr>
          <w:rFonts w:ascii="Book Antiqua" w:eastAsia="Times New Roman" w:hAnsi="Book Antiqua" w:cs="Times New Roman"/>
          <w:b/>
          <w:i/>
        </w:rPr>
        <w:t xml:space="preserve"> should help us preach the law sweetly to our people. </w:t>
      </w:r>
    </w:p>
    <w:p w:rsidR="00C0511B" w:rsidRDefault="00C0511B" w:rsidP="00C0511B">
      <w:pPr>
        <w:spacing w:after="0" w:line="240" w:lineRule="auto"/>
        <w:jc w:val="both"/>
        <w:rPr>
          <w:rFonts w:ascii="Book Antiqua" w:eastAsia="Times New Roman" w:hAnsi="Book Antiqua" w:cs="Times New Roman"/>
          <w:b/>
        </w:rPr>
      </w:pPr>
    </w:p>
    <w:p w:rsidR="00C0511B" w:rsidRDefault="00C0511B" w:rsidP="00C0511B">
      <w:pPr>
        <w:spacing w:after="0" w:line="240" w:lineRule="auto"/>
        <w:jc w:val="both"/>
        <w:rPr>
          <w:rFonts w:ascii="Book Antiqua" w:eastAsia="Times New Roman" w:hAnsi="Book Antiqua" w:cs="Times New Roman"/>
        </w:rPr>
      </w:pPr>
      <w:r>
        <w:rPr>
          <w:rFonts w:ascii="Book Antiqua" w:eastAsia="Times New Roman" w:hAnsi="Book Antiqua" w:cs="Times New Roman"/>
        </w:rPr>
        <w:t>Listen to Turretin:</w:t>
      </w:r>
    </w:p>
    <w:p w:rsidR="00C0511B" w:rsidRDefault="00C0511B" w:rsidP="00C0511B">
      <w:pPr>
        <w:spacing w:after="0" w:line="240" w:lineRule="auto"/>
        <w:jc w:val="both"/>
        <w:rPr>
          <w:rFonts w:ascii="Book Antiqua" w:eastAsia="Times New Roman" w:hAnsi="Book Antiqua" w:cs="Times New Roman"/>
        </w:rPr>
      </w:pPr>
    </w:p>
    <w:p w:rsidR="00C0511B" w:rsidRPr="00530D58" w:rsidRDefault="00C0511B" w:rsidP="00C0511B">
      <w:pPr>
        <w:spacing w:after="0" w:line="240" w:lineRule="auto"/>
        <w:ind w:left="360" w:right="360"/>
        <w:jc w:val="both"/>
        <w:rPr>
          <w:rFonts w:ascii="Book Antiqua" w:eastAsia="Times New Roman" w:hAnsi="Book Antiqua" w:cs="Times New Roman"/>
        </w:rPr>
      </w:pPr>
      <w:r>
        <w:rPr>
          <w:rFonts w:ascii="Book Antiqua" w:eastAsia="Times New Roman" w:hAnsi="Book Antiqua" w:cs="Times New Roman"/>
        </w:rPr>
        <w:t>It is one thing to be under the law to acquire life by it (as Adam was) or as a schoolmaster and prison to guard men until the advent of Christ; another to be under the law as a rule of life, to regulate our morals piously and holily. It is one thing to be under the law inasmuch as it is opposed to the gospel as to rigid and perfect exaction of obedience and the terrible curse with which it threatens sinners; another to be under the law inasmuch as it is subordinated to the gospel, as to sweet direction.</w:t>
      </w:r>
      <w:r>
        <w:rPr>
          <w:rStyle w:val="FootnoteReference"/>
          <w:rFonts w:ascii="Book Antiqua" w:eastAsia="Times New Roman" w:hAnsi="Book Antiqua" w:cs="Times New Roman"/>
        </w:rPr>
        <w:footnoteReference w:id="19"/>
      </w:r>
    </w:p>
    <w:p w:rsidR="00C0511B" w:rsidRDefault="00C0511B" w:rsidP="00C0511B">
      <w:pPr>
        <w:spacing w:after="0" w:line="240" w:lineRule="auto"/>
        <w:jc w:val="both"/>
        <w:rPr>
          <w:rFonts w:ascii="Book Antiqua" w:eastAsia="Times New Roman" w:hAnsi="Book Antiqua" w:cs="Times New Roman"/>
          <w:b/>
        </w:rPr>
      </w:pPr>
    </w:p>
    <w:p w:rsidR="00C0511B" w:rsidRPr="00530D58" w:rsidRDefault="00C0511B" w:rsidP="00C0511B">
      <w:pPr>
        <w:spacing w:after="0" w:line="240" w:lineRule="auto"/>
        <w:jc w:val="both"/>
        <w:rPr>
          <w:rFonts w:ascii="Book Antiqua" w:eastAsia="Times New Roman" w:hAnsi="Book Antiqua" w:cs="Times New Roman"/>
        </w:rPr>
      </w:pPr>
      <w:r w:rsidRPr="00530D58">
        <w:rPr>
          <w:rFonts w:ascii="Book Antiqua" w:eastAsia="Times New Roman" w:hAnsi="Book Antiqua" w:cs="Times New Roman"/>
        </w:rPr>
        <w:t xml:space="preserve">As our Confession makes careful distinctions between types of </w:t>
      </w:r>
      <w:r>
        <w:rPr>
          <w:rFonts w:ascii="Book Antiqua" w:eastAsia="Times New Roman" w:hAnsi="Book Antiqua" w:cs="Times New Roman"/>
        </w:rPr>
        <w:t xml:space="preserve">biblical </w:t>
      </w:r>
      <w:r w:rsidRPr="00530D58">
        <w:rPr>
          <w:rFonts w:ascii="Book Antiqua" w:eastAsia="Times New Roman" w:hAnsi="Book Antiqua" w:cs="Times New Roman"/>
        </w:rPr>
        <w:t xml:space="preserve">law and </w:t>
      </w:r>
      <w:r>
        <w:rPr>
          <w:rFonts w:ascii="Book Antiqua" w:eastAsia="Times New Roman" w:hAnsi="Book Antiqua" w:cs="Times New Roman"/>
        </w:rPr>
        <w:t xml:space="preserve">the various </w:t>
      </w:r>
      <w:r w:rsidRPr="00530D58">
        <w:rPr>
          <w:rFonts w:ascii="Book Antiqua" w:eastAsia="Times New Roman" w:hAnsi="Book Antiqua" w:cs="Times New Roman"/>
        </w:rPr>
        <w:t>uses of the moral law following the Bible, so should we do the same in our pulpit ministries.</w:t>
      </w:r>
      <w:r>
        <w:rPr>
          <w:rFonts w:ascii="Book Antiqua" w:eastAsia="Times New Roman" w:hAnsi="Book Antiqua" w:cs="Times New Roman"/>
        </w:rPr>
        <w:t xml:space="preserve"> On the one hand, we must not confuse law and gospel; on the other hand, we must preach in such a way as to assume the various uses of the moral law of God in the hand of the Spirit while we preach. As I once read in (I think) Thomas Watson, “We must preach the law most killingly,” but </w:t>
      </w:r>
      <w:r w:rsidRPr="00724569">
        <w:rPr>
          <w:rFonts w:ascii="Book Antiqua" w:eastAsia="Times New Roman" w:hAnsi="Book Antiqua" w:cs="Times New Roman"/>
          <w:i/>
        </w:rPr>
        <w:t>not</w:t>
      </w:r>
      <w:r>
        <w:rPr>
          <w:rFonts w:ascii="Book Antiqua" w:eastAsia="Times New Roman" w:hAnsi="Book Antiqua" w:cs="Times New Roman"/>
        </w:rPr>
        <w:t xml:space="preserve"> </w:t>
      </w:r>
      <w:r w:rsidRPr="00724569">
        <w:rPr>
          <w:rFonts w:ascii="Book Antiqua" w:eastAsia="Times New Roman" w:hAnsi="Book Antiqua" w:cs="Times New Roman"/>
        </w:rPr>
        <w:t>to God’s people. The law’s maledictory, cursing</w:t>
      </w:r>
      <w:r>
        <w:rPr>
          <w:rFonts w:ascii="Book Antiqua" w:eastAsia="Times New Roman" w:hAnsi="Book Antiqua" w:cs="Times New Roman"/>
        </w:rPr>
        <w:t>,</w:t>
      </w:r>
      <w:r w:rsidRPr="00724569">
        <w:rPr>
          <w:rFonts w:ascii="Book Antiqua" w:eastAsia="Times New Roman" w:hAnsi="Book Antiqua" w:cs="Times New Roman"/>
        </w:rPr>
        <w:t xml:space="preserve"> condem</w:t>
      </w:r>
      <w:r>
        <w:rPr>
          <w:rFonts w:ascii="Book Antiqua" w:eastAsia="Times New Roman" w:hAnsi="Book Antiqua" w:cs="Times New Roman"/>
        </w:rPr>
        <w:t xml:space="preserve">ning </w:t>
      </w:r>
      <w:r w:rsidRPr="00724569">
        <w:rPr>
          <w:rFonts w:ascii="Book Antiqua" w:eastAsia="Times New Roman" w:hAnsi="Book Antiqua" w:cs="Times New Roman"/>
        </w:rPr>
        <w:t>function no longer applies to believers.</w:t>
      </w:r>
      <w:r w:rsidRPr="00724569">
        <w:rPr>
          <w:rFonts w:ascii="Book Antiqua" w:hAnsi="Book Antiqua" w:cs="Arial"/>
          <w:lang w:bidi="he-IL"/>
        </w:rPr>
        <w:t xml:space="preserve"> </w:t>
      </w:r>
      <w:r>
        <w:rPr>
          <w:rFonts w:ascii="Book Antiqua" w:hAnsi="Book Antiqua" w:cs="Arial"/>
          <w:lang w:bidi="he-IL"/>
        </w:rPr>
        <w:t>“</w:t>
      </w:r>
      <w:r w:rsidRPr="00724569">
        <w:rPr>
          <w:rFonts w:ascii="Book Antiqua" w:hAnsi="Book Antiqua" w:cs="Arial"/>
          <w:lang w:bidi="he-IL"/>
        </w:rPr>
        <w:t>Therefore there is now no condemnation for those who ar</w:t>
      </w:r>
      <w:r>
        <w:rPr>
          <w:rFonts w:ascii="Book Antiqua" w:hAnsi="Book Antiqua" w:cs="Arial"/>
          <w:lang w:bidi="he-IL"/>
        </w:rPr>
        <w:t>e in Christ Jesus” (Rom. 8:1).</w:t>
      </w:r>
      <w:r>
        <w:rPr>
          <w:rFonts w:ascii="Book Antiqua" w:eastAsia="Times New Roman" w:hAnsi="Book Antiqua" w:cs="Times New Roman"/>
        </w:rPr>
        <w:t xml:space="preserve"> As shepherds of Christ’s sheep, we ought to guide them into safe pastures, giving them the “sweet direction” of the law sweetly. </w:t>
      </w:r>
      <w:r w:rsidRPr="00724569">
        <w:rPr>
          <w:rFonts w:ascii="Book Antiqua" w:eastAsia="Times New Roman" w:hAnsi="Book Antiqua" w:cs="Times New Roman"/>
        </w:rPr>
        <w:t>This</w:t>
      </w:r>
      <w:r>
        <w:rPr>
          <w:rFonts w:ascii="Book Antiqua" w:eastAsia="Times New Roman" w:hAnsi="Book Antiqua" w:cs="Times New Roman"/>
        </w:rPr>
        <w:t xml:space="preserve"> leads to another related consideration.</w:t>
      </w:r>
    </w:p>
    <w:p w:rsidR="00C0511B" w:rsidRDefault="00C0511B" w:rsidP="00C0511B">
      <w:pPr>
        <w:spacing w:after="0" w:line="240" w:lineRule="auto"/>
        <w:jc w:val="both"/>
        <w:rPr>
          <w:rFonts w:ascii="Book Antiqua" w:eastAsia="Times New Roman" w:hAnsi="Book Antiqua" w:cs="Times New Roman"/>
          <w:b/>
        </w:rPr>
      </w:pPr>
    </w:p>
    <w:p w:rsidR="00C0511B" w:rsidRPr="00831B35" w:rsidRDefault="00C0511B" w:rsidP="00C0511B">
      <w:pPr>
        <w:spacing w:after="0" w:line="240" w:lineRule="auto"/>
        <w:jc w:val="both"/>
        <w:rPr>
          <w:rFonts w:ascii="Book Antiqua" w:eastAsia="Times New Roman" w:hAnsi="Book Antiqua" w:cs="Times New Roman"/>
          <w:b/>
          <w:i/>
        </w:rPr>
      </w:pPr>
      <w:r>
        <w:rPr>
          <w:rFonts w:ascii="Book Antiqua" w:eastAsia="Times New Roman" w:hAnsi="Book Antiqua" w:cs="Times New Roman"/>
          <w:b/>
          <w:i/>
        </w:rPr>
        <w:t>While</w:t>
      </w:r>
      <w:r w:rsidRPr="00831B35">
        <w:rPr>
          <w:rFonts w:ascii="Book Antiqua" w:eastAsia="Times New Roman" w:hAnsi="Book Antiqua" w:cs="Times New Roman"/>
          <w:b/>
          <w:i/>
        </w:rPr>
        <w:t xml:space="preserve"> preaching, we ought to assume these uses of the </w:t>
      </w:r>
      <w:r>
        <w:rPr>
          <w:rFonts w:ascii="Book Antiqua" w:eastAsia="Times New Roman" w:hAnsi="Book Antiqua" w:cs="Times New Roman"/>
          <w:b/>
          <w:i/>
        </w:rPr>
        <w:t>moral law</w:t>
      </w:r>
      <w:r w:rsidRPr="00831B35">
        <w:rPr>
          <w:rFonts w:ascii="Book Antiqua" w:eastAsia="Times New Roman" w:hAnsi="Book Antiqua" w:cs="Times New Roman"/>
          <w:b/>
          <w:i/>
        </w:rPr>
        <w:t>.</w:t>
      </w:r>
    </w:p>
    <w:p w:rsidR="00C0511B" w:rsidRDefault="00C0511B" w:rsidP="00C0511B">
      <w:pPr>
        <w:spacing w:after="0" w:line="240" w:lineRule="auto"/>
        <w:jc w:val="both"/>
        <w:rPr>
          <w:rFonts w:ascii="Book Antiqua" w:eastAsia="Times New Roman" w:hAnsi="Book Antiqua" w:cs="Times New Roman"/>
          <w:b/>
        </w:rPr>
      </w:pPr>
    </w:p>
    <w:p w:rsidR="00C0511B" w:rsidRDefault="00C0511B" w:rsidP="00C0511B">
      <w:pPr>
        <w:spacing w:after="0" w:line="240" w:lineRule="auto"/>
        <w:jc w:val="both"/>
        <w:rPr>
          <w:rFonts w:ascii="Book Antiqua" w:eastAsia="Times New Roman" w:hAnsi="Book Antiqua" w:cs="Times New Roman"/>
        </w:rPr>
      </w:pPr>
      <w:r>
        <w:rPr>
          <w:rFonts w:ascii="Book Antiqua" w:eastAsia="Times New Roman" w:hAnsi="Book Antiqua" w:cs="Times New Roman"/>
        </w:rPr>
        <w:t xml:space="preserve">These uses of the moral law (for believers and unbelievers) do not become true or actuated only if the text we are preaching contains one of the </w:t>
      </w:r>
      <w:proofErr w:type="gramStart"/>
      <w:r>
        <w:rPr>
          <w:rFonts w:ascii="Book Antiqua" w:eastAsia="Times New Roman" w:hAnsi="Book Antiqua" w:cs="Times New Roman"/>
        </w:rPr>
        <w:t>ten commandments</w:t>
      </w:r>
      <w:proofErr w:type="gramEnd"/>
      <w:r>
        <w:rPr>
          <w:rFonts w:ascii="Book Antiqua" w:eastAsia="Times New Roman" w:hAnsi="Book Antiqua" w:cs="Times New Roman"/>
        </w:rPr>
        <w:t xml:space="preserve">. This, along with all other divinely revealed theological facts, ought to be assumed by us as true at all times. We can know that something is true but do not know how or when the Spirit of Christ is wielding the preached word while we deliver it and which uses of the law are being experienced in the souls of our listeners. There is no need to have a list of “uses” in our sermons that seek to apply the various uses of the moral law to the types of hearers under our preaching. No </w:t>
      </w:r>
      <w:r w:rsidRPr="00724569">
        <w:rPr>
          <w:rFonts w:ascii="Book Antiqua" w:eastAsia="Times New Roman" w:hAnsi="Book Antiqua" w:cs="Times New Roman"/>
        </w:rPr>
        <w:t>biblical t</w:t>
      </w:r>
      <w:r>
        <w:rPr>
          <w:rFonts w:ascii="Book Antiqua" w:eastAsia="Times New Roman" w:hAnsi="Book Antiqua" w:cs="Times New Roman"/>
        </w:rPr>
        <w:t xml:space="preserve">ext exists </w:t>
      </w:r>
      <w:r>
        <w:rPr>
          <w:rFonts w:ascii="Book Antiqua" w:eastAsia="Times New Roman" w:hAnsi="Book Antiqua" w:cs="Times New Roman"/>
        </w:rPr>
        <w:lastRenderedPageBreak/>
        <w:t>where the moral law cannot be used by the Spirit of God in the souls of hearers.</w:t>
      </w:r>
      <w:r w:rsidRPr="00724569">
        <w:rPr>
          <w:rFonts w:ascii="Book Antiqua" w:eastAsia="Times New Roman" w:hAnsi="Book Antiqua" w:cs="Times New Roman"/>
        </w:rPr>
        <w:t xml:space="preserve"> All </w:t>
      </w:r>
      <w:r>
        <w:rPr>
          <w:rFonts w:ascii="Book Antiqua" w:eastAsia="Times New Roman" w:hAnsi="Book Antiqua" w:cs="Times New Roman"/>
        </w:rPr>
        <w:t xml:space="preserve">individual </w:t>
      </w:r>
      <w:r w:rsidRPr="00724569">
        <w:rPr>
          <w:rFonts w:ascii="Book Antiqua" w:eastAsia="Times New Roman" w:hAnsi="Book Antiqua" w:cs="Times New Roman"/>
        </w:rPr>
        <w:t xml:space="preserve">biblical texts come in the context of the </w:t>
      </w:r>
      <w:r>
        <w:rPr>
          <w:rFonts w:ascii="Book Antiqua" w:eastAsia="Times New Roman" w:hAnsi="Book Antiqua" w:cs="Times New Roman"/>
        </w:rPr>
        <w:t xml:space="preserve">entire </w:t>
      </w:r>
      <w:r w:rsidRPr="00724569">
        <w:rPr>
          <w:rFonts w:ascii="Book Antiqua" w:eastAsia="Times New Roman" w:hAnsi="Book Antiqua" w:cs="Times New Roman"/>
        </w:rPr>
        <w:t>biblical text</w:t>
      </w:r>
      <w:r>
        <w:rPr>
          <w:rFonts w:ascii="Book Antiqua" w:eastAsia="Times New Roman" w:hAnsi="Book Antiqua" w:cs="Times New Roman"/>
        </w:rPr>
        <w:t>,</w:t>
      </w:r>
      <w:r w:rsidRPr="00724569">
        <w:rPr>
          <w:rFonts w:ascii="Book Antiqua" w:eastAsia="Times New Roman" w:hAnsi="Book Antiqua" w:cs="Times New Roman"/>
        </w:rPr>
        <w:t xml:space="preserve"> which we know canonically</w:t>
      </w:r>
      <w:r>
        <w:rPr>
          <w:rFonts w:ascii="Book Antiqua" w:eastAsia="Times New Roman" w:hAnsi="Book Antiqua" w:cs="Times New Roman"/>
        </w:rPr>
        <w:t xml:space="preserve"> as the testaments of the</w:t>
      </w:r>
      <w:r w:rsidRPr="00724569">
        <w:rPr>
          <w:rFonts w:ascii="Book Antiqua" w:eastAsia="Times New Roman" w:hAnsi="Book Antiqua" w:cs="Times New Roman"/>
        </w:rPr>
        <w:t xml:space="preserve"> Bible.</w:t>
      </w:r>
      <w:r>
        <w:rPr>
          <w:rFonts w:ascii="Book Antiqua" w:eastAsia="Times New Roman" w:hAnsi="Book Antiqua" w:cs="Times New Roman"/>
        </w:rPr>
        <w:t xml:space="preserve"> Everything that is true in light of God’s written word is true while we are preaching from any individual text. Add to that the fact that our hearers normally know more about the Bible than what we tell them in our sermon. Whether we assume the uses of the moral law consciously or not, the Spirit of Christ takes the word of Christ to the souls of men.</w:t>
      </w:r>
    </w:p>
    <w:p w:rsidR="00C0511B" w:rsidRDefault="00C0511B" w:rsidP="00C0511B">
      <w:pPr>
        <w:spacing w:after="0" w:line="240" w:lineRule="auto"/>
        <w:jc w:val="both"/>
        <w:rPr>
          <w:rFonts w:ascii="Book Antiqua" w:eastAsia="Times New Roman" w:hAnsi="Book Antiqua" w:cs="Times New Roman"/>
        </w:rPr>
      </w:pPr>
    </w:p>
    <w:p w:rsidR="00C0511B" w:rsidRDefault="00C0511B" w:rsidP="00C0511B">
      <w:pPr>
        <w:spacing w:after="0" w:line="240" w:lineRule="auto"/>
        <w:jc w:val="both"/>
        <w:rPr>
          <w:rFonts w:ascii="Book Antiqua" w:eastAsia="Times New Roman" w:hAnsi="Book Antiqua" w:cs="Times New Roman"/>
        </w:rPr>
      </w:pPr>
      <w:r>
        <w:rPr>
          <w:rFonts w:ascii="Book Antiqua" w:eastAsia="Times New Roman" w:hAnsi="Book Antiqua" w:cs="Times New Roman"/>
          <w:b/>
          <w:i/>
        </w:rPr>
        <w:t>Our understanding of the sweet compliance of these uses of the law with the grace of the Gospel is fertile ground for humility, both in us and in our people.</w:t>
      </w:r>
    </w:p>
    <w:p w:rsidR="00C0511B" w:rsidRDefault="00C0511B" w:rsidP="00C0511B">
      <w:pPr>
        <w:spacing w:after="0" w:line="240" w:lineRule="auto"/>
        <w:jc w:val="both"/>
        <w:rPr>
          <w:rFonts w:ascii="Book Antiqua" w:eastAsia="Times New Roman" w:hAnsi="Book Antiqua" w:cs="Times New Roman"/>
        </w:rPr>
      </w:pPr>
    </w:p>
    <w:p w:rsidR="00CA7570" w:rsidRPr="00C0511B" w:rsidRDefault="00C0511B" w:rsidP="00C0511B">
      <w:pPr>
        <w:spacing w:after="0" w:line="240" w:lineRule="auto"/>
        <w:jc w:val="both"/>
        <w:rPr>
          <w:rFonts w:ascii="Book Antiqua" w:eastAsia="Times New Roman" w:hAnsi="Book Antiqua" w:cs="Times New Roman"/>
        </w:rPr>
      </w:pPr>
      <w:r>
        <w:rPr>
          <w:rFonts w:ascii="Book Antiqua" w:eastAsia="Times New Roman" w:hAnsi="Book Antiqua" w:cs="Times New Roman"/>
        </w:rPr>
        <w:t>When we see progress in sanctification, either in ourselves or our people, we must remember that it is due to “</w:t>
      </w:r>
      <w:r w:rsidRPr="0037302E">
        <w:rPr>
          <w:rFonts w:ascii="Book Antiqua" w:eastAsia="Times New Roman" w:hAnsi="Book Antiqua" w:cs="Times New Roman"/>
        </w:rPr>
        <w:t>the Spirit</w:t>
      </w:r>
      <w:r>
        <w:rPr>
          <w:rFonts w:ascii="Book Antiqua" w:eastAsia="Times New Roman" w:hAnsi="Book Antiqua" w:cs="Times New Roman"/>
        </w:rPr>
        <w:t xml:space="preserve"> of Christ subduing and enabling</w:t>
      </w:r>
      <w:r w:rsidRPr="0037302E">
        <w:rPr>
          <w:rFonts w:ascii="Book Antiqua" w:eastAsia="Times New Roman" w:hAnsi="Book Antiqua" w:cs="Times New Roman"/>
        </w:rPr>
        <w:t>.</w:t>
      </w:r>
      <w:r>
        <w:rPr>
          <w:rFonts w:ascii="Book Antiqua" w:eastAsia="Times New Roman" w:hAnsi="Book Antiqua" w:cs="Times New Roman"/>
        </w:rPr>
        <w:t>” Growth in us and growth in our people, sweet conformity to the moral law of God, is due, not to the preacher of the word, but to the Spirit breathing upon the word, bringing its truth to sight. The sanctifying light is not ours to produce or manufacture or force into our hearers by powerful illustrations or fits of emotionally-charged rhetoric. We are to preach the word as accurately as possible and leave the efficient work of the sanctifying of souls to the Spirit of Christ, who enables “</w:t>
      </w:r>
      <w:r w:rsidRPr="0037302E">
        <w:rPr>
          <w:rFonts w:ascii="Book Antiqua" w:eastAsia="Times New Roman" w:hAnsi="Book Antiqua" w:cs="Times New Roman"/>
        </w:rPr>
        <w:t>the will of man to do that freely and cheerfully which the will of God, revealed in the law, requireth to be done.</w:t>
      </w:r>
      <w:r>
        <w:rPr>
          <w:rFonts w:ascii="Book Antiqua" w:eastAsia="Times New Roman" w:hAnsi="Book Antiqua" w:cs="Times New Roman"/>
        </w:rPr>
        <w:t>”</w:t>
      </w:r>
    </w:p>
    <w:sectPr w:rsidR="00CA7570" w:rsidRPr="00C0511B" w:rsidSect="002A4994">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10" w:rsidRDefault="00157410" w:rsidP="00C0511B">
      <w:pPr>
        <w:spacing w:after="0" w:line="240" w:lineRule="auto"/>
      </w:pPr>
      <w:r>
        <w:separator/>
      </w:r>
    </w:p>
  </w:endnote>
  <w:endnote w:type="continuationSeparator" w:id="0">
    <w:p w:rsidR="00157410" w:rsidRDefault="00157410" w:rsidP="00C0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304895798"/>
      <w:docPartObj>
        <w:docPartGallery w:val="Page Numbers (Bottom of Page)"/>
        <w:docPartUnique/>
      </w:docPartObj>
    </w:sdtPr>
    <w:sdtEndPr/>
    <w:sdtContent>
      <w:p w:rsidR="002A4994" w:rsidRPr="002A4994" w:rsidRDefault="003065DB">
        <w:pPr>
          <w:pStyle w:val="Footer"/>
          <w:jc w:val="center"/>
          <w:rPr>
            <w:rFonts w:ascii="Book Antiqua" w:hAnsi="Book Antiqua"/>
          </w:rPr>
        </w:pPr>
        <w:r w:rsidRPr="002A4994">
          <w:rPr>
            <w:rFonts w:ascii="Book Antiqua" w:hAnsi="Book Antiqua"/>
          </w:rPr>
          <w:fldChar w:fldCharType="begin"/>
        </w:r>
        <w:r w:rsidRPr="002A4994">
          <w:rPr>
            <w:rFonts w:ascii="Book Antiqua" w:hAnsi="Book Antiqua"/>
          </w:rPr>
          <w:instrText xml:space="preserve"> PAGE   \* MERGEFORMAT </w:instrText>
        </w:r>
        <w:r w:rsidRPr="002A4994">
          <w:rPr>
            <w:rFonts w:ascii="Book Antiqua" w:hAnsi="Book Antiqua"/>
          </w:rPr>
          <w:fldChar w:fldCharType="separate"/>
        </w:r>
        <w:r w:rsidR="004B5C84">
          <w:rPr>
            <w:rFonts w:ascii="Book Antiqua" w:hAnsi="Book Antiqua"/>
            <w:noProof/>
          </w:rPr>
          <w:t>1</w:t>
        </w:r>
        <w:r w:rsidRPr="002A4994">
          <w:rPr>
            <w:rFonts w:ascii="Book Antiqua" w:hAnsi="Book Antiqua"/>
          </w:rPr>
          <w:fldChar w:fldCharType="end"/>
        </w:r>
      </w:p>
    </w:sdtContent>
  </w:sdt>
  <w:p w:rsidR="002A4994" w:rsidRPr="002A4994" w:rsidRDefault="00157410">
    <w:pPr>
      <w:pStyle w:val="Footer"/>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10" w:rsidRDefault="00157410" w:rsidP="00C0511B">
      <w:pPr>
        <w:spacing w:after="0" w:line="240" w:lineRule="auto"/>
      </w:pPr>
      <w:r>
        <w:separator/>
      </w:r>
    </w:p>
  </w:footnote>
  <w:footnote w:type="continuationSeparator" w:id="0">
    <w:p w:rsidR="00157410" w:rsidRDefault="00157410" w:rsidP="00C0511B">
      <w:pPr>
        <w:spacing w:after="0" w:line="240" w:lineRule="auto"/>
      </w:pPr>
      <w:r>
        <w:continuationSeparator/>
      </w:r>
    </w:p>
  </w:footnote>
  <w:footnote w:id="1">
    <w:p w:rsidR="00C0511B" w:rsidRPr="0037302E" w:rsidRDefault="00C0511B" w:rsidP="00C0511B">
      <w:pPr>
        <w:pStyle w:val="FootnoteText"/>
        <w:ind w:firstLine="360"/>
        <w:jc w:val="both"/>
        <w:rPr>
          <w:rFonts w:ascii="Book Antiqua" w:hAnsi="Book Antiqua"/>
          <w:sz w:val="18"/>
          <w:szCs w:val="18"/>
        </w:rPr>
      </w:pPr>
      <w:r w:rsidRPr="0037302E">
        <w:rPr>
          <w:rStyle w:val="FootnoteReference"/>
          <w:rFonts w:ascii="Book Antiqua" w:hAnsi="Book Antiqua"/>
          <w:sz w:val="18"/>
          <w:szCs w:val="18"/>
        </w:rPr>
        <w:footnoteRef/>
      </w:r>
      <w:r w:rsidRPr="0037302E">
        <w:rPr>
          <w:rFonts w:ascii="Book Antiqua" w:hAnsi="Book Antiqua"/>
          <w:sz w:val="18"/>
          <w:szCs w:val="18"/>
        </w:rPr>
        <w:t xml:space="preserve"> It will be argued below that our Confession is applying the doctrine of </w:t>
      </w:r>
      <w:r>
        <w:rPr>
          <w:rFonts w:ascii="Book Antiqua" w:hAnsi="Book Antiqua"/>
          <w:sz w:val="18"/>
          <w:szCs w:val="18"/>
        </w:rPr>
        <w:t>what is more commonly called the threefold</w:t>
      </w:r>
      <w:r w:rsidRPr="0037302E">
        <w:rPr>
          <w:rFonts w:ascii="Book Antiqua" w:hAnsi="Book Antiqua"/>
          <w:sz w:val="18"/>
          <w:szCs w:val="18"/>
        </w:rPr>
        <w:t xml:space="preserve"> use of the law at 19.</w:t>
      </w:r>
      <w:r>
        <w:rPr>
          <w:rFonts w:ascii="Book Antiqua" w:hAnsi="Book Antiqua"/>
          <w:sz w:val="18"/>
          <w:szCs w:val="18"/>
        </w:rPr>
        <w:t>6-</w:t>
      </w:r>
      <w:r w:rsidRPr="0037302E">
        <w:rPr>
          <w:rFonts w:ascii="Book Antiqua" w:hAnsi="Book Antiqua"/>
          <w:sz w:val="18"/>
          <w:szCs w:val="18"/>
        </w:rPr>
        <w:t>7. For an example of one contemporary evangelical who denies the third use of the law</w:t>
      </w:r>
      <w:r>
        <w:rPr>
          <w:rFonts w:ascii="Book Antiqua" w:hAnsi="Book Antiqua"/>
          <w:sz w:val="18"/>
          <w:szCs w:val="18"/>
        </w:rPr>
        <w:t xml:space="preserve"> (i.e., the moral law as a rule of life for the believer)</w:t>
      </w:r>
      <w:r w:rsidRPr="0037302E">
        <w:rPr>
          <w:rFonts w:ascii="Book Antiqua" w:hAnsi="Book Antiqua"/>
          <w:sz w:val="18"/>
          <w:szCs w:val="18"/>
        </w:rPr>
        <w:t xml:space="preserve">, questions its legitimacy, and yet sees “the notion . . . not entirely wrong . . .” see Thomas R. Schreiner, </w:t>
      </w:r>
      <w:r w:rsidRPr="0037302E">
        <w:rPr>
          <w:rFonts w:ascii="Book Antiqua" w:hAnsi="Book Antiqua"/>
          <w:i/>
          <w:sz w:val="18"/>
          <w:szCs w:val="18"/>
        </w:rPr>
        <w:t>40 Questions About Christians and Biblical Law</w:t>
      </w:r>
      <w:r w:rsidRPr="0037302E">
        <w:rPr>
          <w:rFonts w:ascii="Book Antiqua" w:hAnsi="Book Antiqua"/>
          <w:sz w:val="18"/>
          <w:szCs w:val="18"/>
        </w:rPr>
        <w:t xml:space="preserve"> (Grand Rapids: Kregel Publications, 2010), 97-100. Schreiner says, “Strictly speaking, the idea that believers are under the third use of the law is mistaken, for we have seen that the entire law is abolished for believers. Still, the notion is not entirely wrong . . .” </w:t>
      </w:r>
      <w:proofErr w:type="gramStart"/>
      <w:r w:rsidRPr="0037302E">
        <w:rPr>
          <w:rFonts w:ascii="Book Antiqua" w:hAnsi="Book Antiqua"/>
          <w:sz w:val="18"/>
          <w:szCs w:val="18"/>
        </w:rPr>
        <w:t>and  later</w:t>
      </w:r>
      <w:proofErr w:type="gramEnd"/>
      <w:r w:rsidRPr="0037302E">
        <w:rPr>
          <w:rFonts w:ascii="Book Antiqua" w:hAnsi="Book Antiqua"/>
          <w:sz w:val="18"/>
          <w:szCs w:val="18"/>
        </w:rPr>
        <w:t xml:space="preserve"> “Calvin and Luther had different positions on the third use of the law. Luther is closer to the truth on this matter than Calvin, for he sees more clearly that the Old Testament law is not normative for believers, and that believers are no longer under the Mosaic covenant” (99).</w:t>
      </w:r>
    </w:p>
  </w:footnote>
  <w:footnote w:id="2">
    <w:p w:rsidR="00C0511B" w:rsidRPr="0037302E" w:rsidRDefault="00C0511B" w:rsidP="00C0511B">
      <w:pPr>
        <w:pStyle w:val="FootnoteText"/>
        <w:ind w:firstLine="360"/>
        <w:jc w:val="both"/>
        <w:rPr>
          <w:rFonts w:ascii="Book Antiqua" w:hAnsi="Book Antiqua"/>
          <w:sz w:val="18"/>
          <w:szCs w:val="18"/>
        </w:rPr>
      </w:pPr>
      <w:r w:rsidRPr="0037302E">
        <w:rPr>
          <w:rStyle w:val="FootnoteReference"/>
          <w:rFonts w:ascii="Book Antiqua" w:hAnsi="Book Antiqua"/>
          <w:sz w:val="18"/>
          <w:szCs w:val="18"/>
        </w:rPr>
        <w:footnoteRef/>
      </w:r>
      <w:r w:rsidRPr="0037302E">
        <w:rPr>
          <w:rFonts w:ascii="Book Antiqua" w:hAnsi="Book Antiqua"/>
          <w:sz w:val="18"/>
          <w:szCs w:val="18"/>
        </w:rPr>
        <w:t xml:space="preserve"> I wrestled with whether or not to include this somewhat extensive outline. I</w:t>
      </w:r>
      <w:r>
        <w:rPr>
          <w:rFonts w:ascii="Book Antiqua" w:hAnsi="Book Antiqua"/>
          <w:sz w:val="18"/>
          <w:szCs w:val="18"/>
        </w:rPr>
        <w:t xml:space="preserve"> decided to include it </w:t>
      </w:r>
      <w:r w:rsidRPr="0037302E">
        <w:rPr>
          <w:rFonts w:ascii="Book Antiqua" w:hAnsi="Book Antiqua"/>
          <w:sz w:val="18"/>
          <w:szCs w:val="18"/>
        </w:rPr>
        <w:t>for readers to see the flow of thought, the interconnectedness of the various doctrinal assertions, and the use of technical terms and</w:t>
      </w:r>
      <w:r>
        <w:rPr>
          <w:rFonts w:ascii="Book Antiqua" w:hAnsi="Book Antiqua"/>
          <w:sz w:val="18"/>
          <w:szCs w:val="18"/>
        </w:rPr>
        <w:t xml:space="preserve"> concepts either explicit</w:t>
      </w:r>
      <w:r w:rsidRPr="0037302E">
        <w:rPr>
          <w:rFonts w:ascii="Book Antiqua" w:hAnsi="Book Antiqua"/>
          <w:sz w:val="18"/>
          <w:szCs w:val="18"/>
        </w:rPr>
        <w:t xml:space="preserve"> or implied by 2LCF 19.1-7.</w:t>
      </w:r>
    </w:p>
  </w:footnote>
  <w:footnote w:id="3">
    <w:p w:rsidR="00C0511B" w:rsidRPr="0037302E" w:rsidRDefault="00C0511B" w:rsidP="00C0511B">
      <w:pPr>
        <w:pStyle w:val="BodyText3"/>
        <w:spacing w:after="0"/>
        <w:ind w:firstLine="360"/>
        <w:rPr>
          <w:rFonts w:ascii="Book Antiqua" w:hAnsi="Book Antiqua"/>
          <w:sz w:val="18"/>
          <w:szCs w:val="18"/>
        </w:rPr>
      </w:pPr>
      <w:r w:rsidRPr="0037302E">
        <w:rPr>
          <w:rStyle w:val="FootnoteReference"/>
          <w:rFonts w:ascii="Book Antiqua" w:hAnsi="Book Antiqua"/>
          <w:sz w:val="18"/>
          <w:szCs w:val="18"/>
        </w:rPr>
        <w:footnoteRef/>
      </w:r>
      <w:r w:rsidRPr="0037302E">
        <w:rPr>
          <w:rFonts w:ascii="Book Antiqua" w:hAnsi="Book Antiqua"/>
          <w:sz w:val="18"/>
          <w:szCs w:val="18"/>
        </w:rPr>
        <w:t xml:space="preserve"> </w:t>
      </w:r>
      <w:proofErr w:type="gramStart"/>
      <w:r w:rsidRPr="0037302E">
        <w:rPr>
          <w:rFonts w:ascii="Book Antiqua" w:hAnsi="Book Antiqua"/>
          <w:sz w:val="18"/>
          <w:szCs w:val="18"/>
        </w:rPr>
        <w:t xml:space="preserve">Richard A. Muller, </w:t>
      </w:r>
      <w:r w:rsidRPr="0037302E">
        <w:rPr>
          <w:rFonts w:ascii="Book Antiqua" w:hAnsi="Book Antiqua"/>
          <w:i/>
          <w:iCs/>
          <w:sz w:val="18"/>
          <w:szCs w:val="18"/>
        </w:rPr>
        <w:t>Dictionary of Latin and Greek Theological Terms Drawn Principally from Protestant Scholastic Theology</w:t>
      </w:r>
      <w:r w:rsidRPr="0037302E">
        <w:rPr>
          <w:rFonts w:ascii="Book Antiqua" w:hAnsi="Book Antiqua"/>
          <w:sz w:val="18"/>
          <w:szCs w:val="18"/>
        </w:rPr>
        <w:t xml:space="preserve"> (Grand Rapids: Baker Book House, 1985), 175.</w:t>
      </w:r>
      <w:proofErr w:type="gramEnd"/>
    </w:p>
  </w:footnote>
  <w:footnote w:id="4">
    <w:p w:rsidR="00C0511B" w:rsidRPr="0037302E" w:rsidRDefault="00C0511B" w:rsidP="00C0511B">
      <w:pPr>
        <w:pStyle w:val="FootnoteText"/>
        <w:ind w:firstLine="360"/>
        <w:jc w:val="both"/>
        <w:rPr>
          <w:rFonts w:ascii="Book Antiqua" w:hAnsi="Book Antiqua"/>
          <w:sz w:val="18"/>
          <w:szCs w:val="18"/>
        </w:rPr>
      </w:pPr>
      <w:r w:rsidRPr="0037302E">
        <w:rPr>
          <w:rStyle w:val="FootnoteReference"/>
          <w:rFonts w:ascii="Book Antiqua" w:hAnsi="Book Antiqua"/>
          <w:sz w:val="18"/>
          <w:szCs w:val="18"/>
        </w:rPr>
        <w:footnoteRef/>
      </w:r>
      <w:r w:rsidRPr="0037302E">
        <w:rPr>
          <w:rFonts w:ascii="Book Antiqua" w:hAnsi="Book Antiqua"/>
          <w:sz w:val="18"/>
          <w:szCs w:val="18"/>
        </w:rPr>
        <w:t xml:space="preserve"> Francis Turretin, </w:t>
      </w:r>
      <w:r w:rsidRPr="0037302E">
        <w:rPr>
          <w:rFonts w:ascii="Book Antiqua" w:hAnsi="Book Antiqua"/>
          <w:i/>
          <w:sz w:val="18"/>
          <w:szCs w:val="18"/>
        </w:rPr>
        <w:t>Institutes of Elenctic Theology</w:t>
      </w:r>
      <w:r w:rsidRPr="0037302E">
        <w:rPr>
          <w:rFonts w:ascii="Book Antiqua" w:hAnsi="Book Antiqua"/>
          <w:sz w:val="18"/>
          <w:szCs w:val="18"/>
        </w:rPr>
        <w:t>, 3 vols., ed. James T. Dennison, Jr., trans. Geor</w:t>
      </w:r>
      <w:r>
        <w:rPr>
          <w:rFonts w:ascii="Book Antiqua" w:hAnsi="Book Antiqua"/>
          <w:sz w:val="18"/>
          <w:szCs w:val="18"/>
        </w:rPr>
        <w:t>ge Musgrave Giger (Phillipsburg</w:t>
      </w:r>
      <w:r w:rsidRPr="0037302E">
        <w:rPr>
          <w:rFonts w:ascii="Book Antiqua" w:hAnsi="Book Antiqua"/>
          <w:sz w:val="18"/>
          <w:szCs w:val="18"/>
        </w:rPr>
        <w:t>, NJ: P&amp;R Publishing, 1992-97), 2.11.1 (II:2).</w:t>
      </w:r>
    </w:p>
  </w:footnote>
  <w:footnote w:id="5">
    <w:p w:rsidR="00C0511B" w:rsidRPr="0037302E" w:rsidRDefault="00C0511B" w:rsidP="00C0511B">
      <w:pPr>
        <w:pStyle w:val="FootnoteText"/>
        <w:ind w:firstLine="360"/>
        <w:jc w:val="both"/>
        <w:rPr>
          <w:rFonts w:ascii="Book Antiqua" w:hAnsi="Book Antiqua"/>
          <w:sz w:val="18"/>
          <w:szCs w:val="18"/>
        </w:rPr>
      </w:pPr>
      <w:r w:rsidRPr="0037302E">
        <w:rPr>
          <w:rStyle w:val="FootnoteReference"/>
          <w:rFonts w:ascii="Book Antiqua" w:hAnsi="Book Antiqua"/>
          <w:sz w:val="18"/>
          <w:szCs w:val="18"/>
        </w:rPr>
        <w:footnoteRef/>
      </w:r>
      <w:r w:rsidRPr="0037302E">
        <w:rPr>
          <w:rFonts w:ascii="Book Antiqua" w:hAnsi="Book Antiqua"/>
          <w:sz w:val="18"/>
          <w:szCs w:val="18"/>
        </w:rPr>
        <w:t xml:space="preserve"> Turretin, </w:t>
      </w:r>
      <w:r w:rsidRPr="0037302E">
        <w:rPr>
          <w:rFonts w:ascii="Book Antiqua" w:hAnsi="Book Antiqua"/>
          <w:i/>
          <w:sz w:val="18"/>
          <w:szCs w:val="18"/>
        </w:rPr>
        <w:t>Elenctic Theology</w:t>
      </w:r>
      <w:r w:rsidRPr="0037302E">
        <w:rPr>
          <w:rFonts w:ascii="Book Antiqua" w:hAnsi="Book Antiqua"/>
          <w:sz w:val="18"/>
          <w:szCs w:val="18"/>
        </w:rPr>
        <w:t>, 2.11.1 (II</w:t>
      </w:r>
      <w:proofErr w:type="gramStart"/>
      <w:r w:rsidRPr="0037302E">
        <w:rPr>
          <w:rFonts w:ascii="Book Antiqua" w:hAnsi="Book Antiqua"/>
          <w:sz w:val="18"/>
          <w:szCs w:val="18"/>
        </w:rPr>
        <w:t>:2</w:t>
      </w:r>
      <w:proofErr w:type="gramEnd"/>
      <w:r w:rsidRPr="0037302E">
        <w:rPr>
          <w:rFonts w:ascii="Book Antiqua" w:hAnsi="Book Antiqua"/>
          <w:sz w:val="18"/>
          <w:szCs w:val="18"/>
        </w:rPr>
        <w:t>).</w:t>
      </w:r>
    </w:p>
  </w:footnote>
  <w:footnote w:id="6">
    <w:p w:rsidR="00C0511B" w:rsidRPr="0037302E" w:rsidRDefault="00C0511B" w:rsidP="00C0511B">
      <w:pPr>
        <w:pStyle w:val="FootnoteText"/>
        <w:ind w:firstLine="360"/>
        <w:jc w:val="both"/>
        <w:rPr>
          <w:rFonts w:ascii="Book Antiqua" w:hAnsi="Book Antiqua"/>
          <w:sz w:val="18"/>
          <w:szCs w:val="18"/>
        </w:rPr>
      </w:pPr>
      <w:r w:rsidRPr="0037302E">
        <w:rPr>
          <w:rStyle w:val="FootnoteReference"/>
          <w:rFonts w:ascii="Book Antiqua" w:hAnsi="Book Antiqua"/>
          <w:sz w:val="18"/>
          <w:szCs w:val="18"/>
        </w:rPr>
        <w:footnoteRef/>
      </w:r>
      <w:r w:rsidRPr="0037302E">
        <w:rPr>
          <w:rFonts w:ascii="Book Antiqua" w:hAnsi="Book Antiqua"/>
          <w:sz w:val="18"/>
          <w:szCs w:val="18"/>
        </w:rPr>
        <w:t xml:space="preserve"> Turretin, </w:t>
      </w:r>
      <w:r w:rsidRPr="0037302E">
        <w:rPr>
          <w:rFonts w:ascii="Book Antiqua" w:hAnsi="Book Antiqua"/>
          <w:i/>
          <w:sz w:val="18"/>
          <w:szCs w:val="18"/>
        </w:rPr>
        <w:t>Elenctic Theology</w:t>
      </w:r>
      <w:r w:rsidRPr="0037302E">
        <w:rPr>
          <w:rFonts w:ascii="Book Antiqua" w:hAnsi="Book Antiqua"/>
          <w:sz w:val="18"/>
          <w:szCs w:val="18"/>
        </w:rPr>
        <w:t>, 2.11.1 (II</w:t>
      </w:r>
      <w:proofErr w:type="gramStart"/>
      <w:r w:rsidRPr="0037302E">
        <w:rPr>
          <w:rFonts w:ascii="Book Antiqua" w:hAnsi="Book Antiqua"/>
          <w:sz w:val="18"/>
          <w:szCs w:val="18"/>
        </w:rPr>
        <w:t>:2</w:t>
      </w:r>
      <w:proofErr w:type="gramEnd"/>
      <w:r w:rsidRPr="0037302E">
        <w:rPr>
          <w:rFonts w:ascii="Book Antiqua" w:hAnsi="Book Antiqua"/>
          <w:sz w:val="18"/>
          <w:szCs w:val="18"/>
        </w:rPr>
        <w:t>).</w:t>
      </w:r>
    </w:p>
  </w:footnote>
  <w:footnote w:id="7">
    <w:p w:rsidR="00C0511B" w:rsidRPr="0037302E" w:rsidRDefault="00C0511B" w:rsidP="00C0511B">
      <w:pPr>
        <w:pStyle w:val="BodyText3"/>
        <w:spacing w:after="0"/>
        <w:ind w:firstLine="360"/>
        <w:rPr>
          <w:rFonts w:ascii="Book Antiqua" w:hAnsi="Book Antiqua"/>
          <w:sz w:val="18"/>
          <w:szCs w:val="18"/>
        </w:rPr>
      </w:pPr>
      <w:r w:rsidRPr="0037302E">
        <w:rPr>
          <w:rStyle w:val="FootnoteReference"/>
          <w:rFonts w:ascii="Book Antiqua" w:hAnsi="Book Antiqua"/>
          <w:sz w:val="18"/>
          <w:szCs w:val="18"/>
        </w:rPr>
        <w:footnoteRef/>
      </w:r>
      <w:r w:rsidRPr="0037302E">
        <w:rPr>
          <w:rFonts w:ascii="Book Antiqua" w:hAnsi="Book Antiqua"/>
          <w:sz w:val="18"/>
          <w:szCs w:val="18"/>
        </w:rPr>
        <w:t xml:space="preserve"> Muller, </w:t>
      </w:r>
      <w:r w:rsidRPr="0037302E">
        <w:rPr>
          <w:rFonts w:ascii="Book Antiqua" w:hAnsi="Book Antiqua"/>
          <w:i/>
          <w:iCs/>
          <w:sz w:val="18"/>
          <w:szCs w:val="18"/>
        </w:rPr>
        <w:t>Dictionary</w:t>
      </w:r>
      <w:r>
        <w:rPr>
          <w:rFonts w:ascii="Book Antiqua" w:hAnsi="Book Antiqua"/>
          <w:sz w:val="18"/>
          <w:szCs w:val="18"/>
        </w:rPr>
        <w:t>, 173-</w:t>
      </w:r>
      <w:r w:rsidRPr="0037302E">
        <w:rPr>
          <w:rFonts w:ascii="Book Antiqua" w:hAnsi="Book Antiqua"/>
          <w:sz w:val="18"/>
          <w:szCs w:val="18"/>
        </w:rPr>
        <w:t>74.</w:t>
      </w:r>
    </w:p>
  </w:footnote>
  <w:footnote w:id="8">
    <w:p w:rsidR="00C0511B" w:rsidRPr="0037302E" w:rsidRDefault="00C0511B" w:rsidP="00C0511B">
      <w:pPr>
        <w:pStyle w:val="FootnoteText"/>
        <w:ind w:firstLine="360"/>
        <w:jc w:val="both"/>
        <w:rPr>
          <w:rFonts w:ascii="Book Antiqua" w:hAnsi="Book Antiqua"/>
          <w:sz w:val="18"/>
          <w:szCs w:val="18"/>
        </w:rPr>
      </w:pPr>
      <w:r w:rsidRPr="0037302E">
        <w:rPr>
          <w:rStyle w:val="FootnoteReference"/>
          <w:rFonts w:ascii="Book Antiqua" w:hAnsi="Book Antiqua"/>
          <w:sz w:val="18"/>
          <w:szCs w:val="18"/>
        </w:rPr>
        <w:footnoteRef/>
      </w:r>
      <w:r w:rsidRPr="0037302E">
        <w:rPr>
          <w:rFonts w:ascii="Book Antiqua" w:hAnsi="Book Antiqua"/>
          <w:sz w:val="18"/>
          <w:szCs w:val="18"/>
        </w:rPr>
        <w:t xml:space="preserve"> Turretin, </w:t>
      </w:r>
      <w:r w:rsidRPr="0037302E">
        <w:rPr>
          <w:rFonts w:ascii="Book Antiqua" w:hAnsi="Book Antiqua"/>
          <w:i/>
          <w:sz w:val="18"/>
          <w:szCs w:val="18"/>
        </w:rPr>
        <w:t>Elenctic Theology</w:t>
      </w:r>
      <w:r w:rsidRPr="0037302E">
        <w:rPr>
          <w:rFonts w:ascii="Book Antiqua" w:hAnsi="Book Antiqua"/>
          <w:sz w:val="18"/>
          <w:szCs w:val="18"/>
        </w:rPr>
        <w:t>, 2.11.1 (II</w:t>
      </w:r>
      <w:proofErr w:type="gramStart"/>
      <w:r w:rsidRPr="0037302E">
        <w:rPr>
          <w:rFonts w:ascii="Book Antiqua" w:hAnsi="Book Antiqua"/>
          <w:sz w:val="18"/>
          <w:szCs w:val="18"/>
        </w:rPr>
        <w:t>:2</w:t>
      </w:r>
      <w:proofErr w:type="gramEnd"/>
      <w:r w:rsidRPr="0037302E">
        <w:rPr>
          <w:rFonts w:ascii="Book Antiqua" w:hAnsi="Book Antiqua"/>
          <w:sz w:val="18"/>
          <w:szCs w:val="18"/>
        </w:rPr>
        <w:t>).</w:t>
      </w:r>
    </w:p>
  </w:footnote>
  <w:footnote w:id="9">
    <w:p w:rsidR="00C0511B" w:rsidRPr="00A00406" w:rsidRDefault="00C0511B" w:rsidP="00C0511B">
      <w:pPr>
        <w:pStyle w:val="FootnoteText"/>
        <w:ind w:firstLine="360"/>
        <w:jc w:val="both"/>
        <w:rPr>
          <w:rFonts w:ascii="Book Antiqua" w:hAnsi="Book Antiqua"/>
          <w:sz w:val="18"/>
          <w:szCs w:val="18"/>
        </w:rPr>
      </w:pPr>
      <w:r w:rsidRPr="00A00406">
        <w:rPr>
          <w:rStyle w:val="FootnoteReference"/>
          <w:rFonts w:ascii="Book Antiqua" w:hAnsi="Book Antiqua"/>
          <w:sz w:val="18"/>
          <w:szCs w:val="18"/>
        </w:rPr>
        <w:footnoteRef/>
      </w:r>
      <w:r w:rsidRPr="00A00406">
        <w:rPr>
          <w:rFonts w:ascii="Book Antiqua" w:hAnsi="Book Antiqua"/>
          <w:sz w:val="18"/>
          <w:szCs w:val="18"/>
        </w:rPr>
        <w:t xml:space="preserve"> For the best contemporary discussion on the threefold division of the law see Philip S. Ross, </w:t>
      </w:r>
      <w:r w:rsidRPr="00A00406">
        <w:rPr>
          <w:rFonts w:ascii="Book Antiqua" w:hAnsi="Book Antiqua"/>
          <w:i/>
          <w:sz w:val="18"/>
          <w:szCs w:val="18"/>
        </w:rPr>
        <w:t>From the Finger of God: The Biblical and Theological Basis for the Threefold Division of the Law</w:t>
      </w:r>
      <w:r w:rsidRPr="00A00406">
        <w:rPr>
          <w:rFonts w:ascii="Book Antiqua" w:hAnsi="Book Antiqua"/>
          <w:sz w:val="18"/>
          <w:szCs w:val="18"/>
        </w:rPr>
        <w:t xml:space="preserve"> (Ross-shire, Scotland: Mentor Imprint by Christian Focus Publications Ltd., 2010).</w:t>
      </w:r>
    </w:p>
  </w:footnote>
  <w:footnote w:id="10">
    <w:p w:rsidR="00C0511B" w:rsidRPr="00A00406" w:rsidRDefault="00C0511B" w:rsidP="00C0511B">
      <w:pPr>
        <w:pStyle w:val="FootnoteText"/>
        <w:ind w:firstLine="360"/>
        <w:jc w:val="both"/>
        <w:rPr>
          <w:rFonts w:ascii="Book Antiqua" w:hAnsi="Book Antiqua"/>
          <w:sz w:val="18"/>
          <w:szCs w:val="18"/>
        </w:rPr>
      </w:pPr>
      <w:r w:rsidRPr="00A00406">
        <w:rPr>
          <w:rStyle w:val="FootnoteReference"/>
          <w:rFonts w:ascii="Book Antiqua" w:hAnsi="Book Antiqua"/>
          <w:sz w:val="18"/>
          <w:szCs w:val="18"/>
        </w:rPr>
        <w:footnoteRef/>
      </w:r>
      <w:r w:rsidRPr="00A00406">
        <w:rPr>
          <w:rFonts w:ascii="Book Antiqua" w:hAnsi="Book Antiqua"/>
          <w:sz w:val="18"/>
          <w:szCs w:val="18"/>
        </w:rPr>
        <w:t xml:space="preserve"> </w:t>
      </w:r>
      <w:r>
        <w:rPr>
          <w:rFonts w:ascii="Book Antiqua" w:hAnsi="Book Antiqua"/>
          <w:sz w:val="18"/>
          <w:szCs w:val="18"/>
        </w:rPr>
        <w:t xml:space="preserve">See the discussion “The Concept of Abrogation in Owen and others” in Nehemiah Coxe and John Owen, </w:t>
      </w:r>
      <w:r w:rsidRPr="00145E36">
        <w:rPr>
          <w:rFonts w:ascii="Book Antiqua" w:hAnsi="Book Antiqua"/>
          <w:i/>
          <w:sz w:val="18"/>
          <w:szCs w:val="18"/>
        </w:rPr>
        <w:t>Covenant Theology: From Adam to Christ</w:t>
      </w:r>
      <w:r>
        <w:rPr>
          <w:rFonts w:ascii="Book Antiqua" w:hAnsi="Book Antiqua"/>
          <w:sz w:val="18"/>
          <w:szCs w:val="18"/>
        </w:rPr>
        <w:t>, eds. Ronald D. Miller, James M. Renihan, and Francisco Orozco (Palmdale, CA: Reformed Baptist Academic Press, 2005), 325-31.</w:t>
      </w:r>
    </w:p>
  </w:footnote>
  <w:footnote w:id="11">
    <w:p w:rsidR="00C0511B" w:rsidRPr="00A00406" w:rsidRDefault="00C0511B" w:rsidP="00C0511B">
      <w:pPr>
        <w:pStyle w:val="FootnoteText"/>
        <w:ind w:firstLine="360"/>
        <w:jc w:val="both"/>
        <w:rPr>
          <w:rFonts w:ascii="Book Antiqua" w:hAnsi="Book Antiqua"/>
          <w:sz w:val="18"/>
          <w:szCs w:val="18"/>
        </w:rPr>
      </w:pPr>
      <w:r w:rsidRPr="00A00406">
        <w:rPr>
          <w:rStyle w:val="FootnoteReference"/>
          <w:rFonts w:ascii="Book Antiqua" w:hAnsi="Book Antiqua"/>
          <w:sz w:val="18"/>
          <w:szCs w:val="18"/>
        </w:rPr>
        <w:footnoteRef/>
      </w:r>
      <w:r w:rsidRPr="00A00406">
        <w:rPr>
          <w:rFonts w:ascii="Book Antiqua" w:hAnsi="Book Antiqua"/>
          <w:sz w:val="18"/>
          <w:szCs w:val="18"/>
        </w:rPr>
        <w:t xml:space="preserve"> Muller, </w:t>
      </w:r>
      <w:r w:rsidRPr="00A00406">
        <w:rPr>
          <w:rFonts w:ascii="Book Antiqua" w:hAnsi="Book Antiqua"/>
          <w:i/>
          <w:iCs/>
          <w:sz w:val="18"/>
          <w:szCs w:val="18"/>
        </w:rPr>
        <w:t>Dictionary</w:t>
      </w:r>
      <w:r w:rsidRPr="00A00406">
        <w:rPr>
          <w:rFonts w:ascii="Book Antiqua" w:hAnsi="Book Antiqua"/>
          <w:sz w:val="18"/>
          <w:szCs w:val="18"/>
        </w:rPr>
        <w:t>, 320-21.</w:t>
      </w:r>
    </w:p>
  </w:footnote>
  <w:footnote w:id="12">
    <w:p w:rsidR="00C0511B" w:rsidRPr="00F075DB" w:rsidRDefault="00C0511B" w:rsidP="00C0511B">
      <w:pPr>
        <w:pStyle w:val="FootnoteText"/>
        <w:ind w:firstLine="360"/>
        <w:jc w:val="both"/>
        <w:rPr>
          <w:rFonts w:ascii="Book Antiqua" w:hAnsi="Book Antiqua"/>
          <w:sz w:val="18"/>
          <w:szCs w:val="18"/>
        </w:rPr>
      </w:pPr>
      <w:r w:rsidRPr="00F075DB">
        <w:rPr>
          <w:rStyle w:val="FootnoteReference"/>
          <w:rFonts w:ascii="Book Antiqua" w:hAnsi="Book Antiqua"/>
          <w:sz w:val="18"/>
          <w:szCs w:val="18"/>
        </w:rPr>
        <w:footnoteRef/>
      </w:r>
      <w:r w:rsidRPr="00F075DB">
        <w:rPr>
          <w:rFonts w:ascii="Book Antiqua" w:hAnsi="Book Antiqua"/>
          <w:sz w:val="18"/>
          <w:szCs w:val="18"/>
        </w:rPr>
        <w:t xml:space="preserve"> Muller, </w:t>
      </w:r>
      <w:r w:rsidRPr="00F075DB">
        <w:rPr>
          <w:rFonts w:ascii="Book Antiqua" w:hAnsi="Book Antiqua"/>
          <w:i/>
          <w:sz w:val="18"/>
          <w:szCs w:val="18"/>
        </w:rPr>
        <w:t>Dictionary</w:t>
      </w:r>
      <w:r w:rsidRPr="00F075DB">
        <w:rPr>
          <w:rFonts w:ascii="Book Antiqua" w:hAnsi="Book Antiqua"/>
          <w:sz w:val="18"/>
          <w:szCs w:val="18"/>
        </w:rPr>
        <w:t xml:space="preserve">, 321, terms this as the didactive use of the law under </w:t>
      </w:r>
      <w:r w:rsidRPr="00F075DB">
        <w:rPr>
          <w:rFonts w:ascii="Book Antiqua" w:hAnsi="Book Antiqua"/>
          <w:i/>
          <w:sz w:val="18"/>
          <w:szCs w:val="18"/>
        </w:rPr>
        <w:t xml:space="preserve">usus didacticus. </w:t>
      </w:r>
      <w:r w:rsidRPr="00F075DB">
        <w:rPr>
          <w:rFonts w:ascii="Book Antiqua" w:hAnsi="Book Antiqua"/>
          <w:sz w:val="18"/>
          <w:szCs w:val="18"/>
        </w:rPr>
        <w:t xml:space="preserve">“. . . </w:t>
      </w:r>
      <w:proofErr w:type="gramStart"/>
      <w:r w:rsidRPr="00F075DB">
        <w:rPr>
          <w:rFonts w:ascii="Book Antiqua" w:hAnsi="Book Antiqua"/>
          <w:sz w:val="18"/>
          <w:szCs w:val="18"/>
        </w:rPr>
        <w:t>this</w:t>
      </w:r>
      <w:proofErr w:type="gramEnd"/>
      <w:r w:rsidRPr="00F075DB">
        <w:rPr>
          <w:rFonts w:ascii="Book Antiqua" w:hAnsi="Book Antiqua"/>
          <w:sz w:val="18"/>
          <w:szCs w:val="18"/>
        </w:rPr>
        <w:t xml:space="preserve"> latter didactic or normative use is referred to simply as the </w:t>
      </w:r>
      <w:r w:rsidRPr="00F075DB">
        <w:rPr>
          <w:rFonts w:ascii="Book Antiqua" w:hAnsi="Book Antiqua"/>
          <w:i/>
          <w:sz w:val="18"/>
          <w:szCs w:val="18"/>
        </w:rPr>
        <w:t>tertius usus legis</w:t>
      </w:r>
      <w:r w:rsidRPr="00F075DB">
        <w:rPr>
          <w:rFonts w:ascii="Book Antiqua" w:hAnsi="Book Antiqua"/>
          <w:sz w:val="18"/>
          <w:szCs w:val="18"/>
        </w:rPr>
        <w:t>, the third use of the law.  This final use of the law pertains to believers in Christ who have been saved through faith apart from works.  In the regenerate life, the law . . . acts as a norm of conduct . . .  This normative use [</w:t>
      </w:r>
      <w:r w:rsidRPr="00F075DB">
        <w:rPr>
          <w:rFonts w:ascii="Book Antiqua" w:hAnsi="Book Antiqua"/>
          <w:i/>
          <w:sz w:val="18"/>
          <w:szCs w:val="18"/>
        </w:rPr>
        <w:t>usus normativus</w:t>
      </w:r>
      <w:r w:rsidRPr="00F075DB">
        <w:rPr>
          <w:rFonts w:ascii="Book Antiqua" w:hAnsi="Book Antiqua"/>
          <w:sz w:val="18"/>
          <w:szCs w:val="18"/>
        </w:rPr>
        <w:t xml:space="preserve">] is also didactic inasmuch as the law now teaches, without condemnation, the way of righteousness.” Calvin also referred to the third use as </w:t>
      </w:r>
      <w:r w:rsidRPr="00F075DB">
        <w:rPr>
          <w:rFonts w:ascii="Book Antiqua" w:hAnsi="Book Antiqua"/>
          <w:i/>
          <w:sz w:val="18"/>
          <w:szCs w:val="18"/>
        </w:rPr>
        <w:t>usus in renatis,</w:t>
      </w:r>
      <w:r w:rsidRPr="00F075DB">
        <w:rPr>
          <w:rFonts w:ascii="Book Antiqua" w:hAnsi="Book Antiqua"/>
          <w:sz w:val="18"/>
          <w:szCs w:val="18"/>
        </w:rPr>
        <w:t xml:space="preserve"> which means the use of the law for the regenerate.</w:t>
      </w:r>
    </w:p>
  </w:footnote>
  <w:footnote w:id="13">
    <w:p w:rsidR="00C0511B" w:rsidRPr="00F075DB" w:rsidRDefault="00C0511B" w:rsidP="00C0511B">
      <w:pPr>
        <w:pStyle w:val="FootnoteText"/>
        <w:ind w:firstLine="360"/>
        <w:jc w:val="both"/>
        <w:rPr>
          <w:rFonts w:ascii="Book Antiqua" w:hAnsi="Book Antiqua"/>
          <w:sz w:val="18"/>
          <w:szCs w:val="18"/>
        </w:rPr>
      </w:pPr>
      <w:r w:rsidRPr="00F075DB">
        <w:rPr>
          <w:rStyle w:val="FootnoteReference"/>
          <w:rFonts w:ascii="Book Antiqua" w:hAnsi="Book Antiqua"/>
          <w:sz w:val="18"/>
          <w:szCs w:val="18"/>
        </w:rPr>
        <w:footnoteRef/>
      </w:r>
      <w:r w:rsidRPr="00F075DB">
        <w:rPr>
          <w:rFonts w:ascii="Book Antiqua" w:hAnsi="Book Antiqua"/>
          <w:sz w:val="18"/>
          <w:szCs w:val="18"/>
        </w:rPr>
        <w:t xml:space="preserve"> See Chad Van Dixhorn, </w:t>
      </w:r>
      <w:r w:rsidRPr="00F075DB">
        <w:rPr>
          <w:rFonts w:ascii="Book Antiqua" w:hAnsi="Book Antiqua"/>
          <w:i/>
          <w:sz w:val="18"/>
          <w:szCs w:val="18"/>
        </w:rPr>
        <w:t>Confessing the Faith: A reader’s guide to the Westminster Confession of Faith</w:t>
      </w:r>
      <w:r w:rsidRPr="00F075DB">
        <w:rPr>
          <w:rFonts w:ascii="Book Antiqua" w:hAnsi="Book Antiqua"/>
          <w:sz w:val="18"/>
          <w:szCs w:val="18"/>
        </w:rPr>
        <w:t xml:space="preserve"> (</w:t>
      </w:r>
      <w:r>
        <w:rPr>
          <w:rFonts w:ascii="Book Antiqua" w:hAnsi="Book Antiqua"/>
          <w:sz w:val="18"/>
          <w:szCs w:val="18"/>
        </w:rPr>
        <w:t>Edinburgh and Carlisle, PA: The Banner of Truth Trust, 2014</w:t>
      </w:r>
      <w:r w:rsidRPr="00F075DB">
        <w:rPr>
          <w:rFonts w:ascii="Book Antiqua" w:hAnsi="Book Antiqua"/>
          <w:sz w:val="18"/>
          <w:szCs w:val="18"/>
        </w:rPr>
        <w:t>), 251, n. 1</w:t>
      </w:r>
      <w:r>
        <w:rPr>
          <w:rFonts w:ascii="Book Antiqua" w:hAnsi="Book Antiqua"/>
          <w:sz w:val="18"/>
          <w:szCs w:val="18"/>
        </w:rPr>
        <w:t>, where he acknowledges that the ordering of the uses of the law in the Confession differ from Calvin’s</w:t>
      </w:r>
      <w:r w:rsidRPr="00F075DB">
        <w:rPr>
          <w:rFonts w:ascii="Book Antiqua" w:hAnsi="Book Antiqua"/>
          <w:sz w:val="18"/>
          <w:szCs w:val="18"/>
        </w:rPr>
        <w:t>.</w:t>
      </w:r>
      <w:r>
        <w:rPr>
          <w:rFonts w:ascii="Book Antiqua" w:hAnsi="Book Antiqua"/>
          <w:sz w:val="18"/>
          <w:szCs w:val="18"/>
        </w:rPr>
        <w:t xml:space="preserve"> The form is different from Calvin but not the concepts.</w:t>
      </w:r>
    </w:p>
  </w:footnote>
  <w:footnote w:id="14">
    <w:p w:rsidR="00C0511B" w:rsidRPr="00F075DB" w:rsidRDefault="00C0511B" w:rsidP="00C0511B">
      <w:pPr>
        <w:pStyle w:val="FootnoteText"/>
        <w:ind w:firstLine="360"/>
        <w:jc w:val="both"/>
        <w:rPr>
          <w:rFonts w:ascii="Book Antiqua" w:hAnsi="Book Antiqua"/>
          <w:sz w:val="18"/>
          <w:szCs w:val="18"/>
        </w:rPr>
      </w:pPr>
      <w:r w:rsidRPr="00F075DB">
        <w:rPr>
          <w:rStyle w:val="FootnoteReference"/>
          <w:rFonts w:ascii="Book Antiqua" w:hAnsi="Book Antiqua"/>
          <w:sz w:val="18"/>
          <w:szCs w:val="18"/>
        </w:rPr>
        <w:footnoteRef/>
      </w:r>
      <w:r w:rsidRPr="00F075DB">
        <w:rPr>
          <w:rFonts w:ascii="Book Antiqua" w:hAnsi="Book Antiqua"/>
          <w:sz w:val="18"/>
          <w:szCs w:val="18"/>
        </w:rPr>
        <w:t xml:space="preserve"> Bold text in the confessional quotations indicates where and why I identified each use as I did.</w:t>
      </w:r>
    </w:p>
  </w:footnote>
  <w:footnote w:id="15">
    <w:p w:rsidR="00C0511B" w:rsidRPr="00680E8D" w:rsidRDefault="00C0511B" w:rsidP="00C0511B">
      <w:pPr>
        <w:pStyle w:val="FootnoteText"/>
        <w:ind w:firstLine="360"/>
        <w:jc w:val="both"/>
        <w:rPr>
          <w:rFonts w:ascii="Book Antiqua" w:hAnsi="Book Antiqua"/>
          <w:sz w:val="18"/>
          <w:szCs w:val="18"/>
        </w:rPr>
      </w:pPr>
      <w:r w:rsidRPr="00680E8D">
        <w:rPr>
          <w:rStyle w:val="FootnoteReference"/>
          <w:rFonts w:ascii="Book Antiqua" w:hAnsi="Book Antiqua"/>
          <w:sz w:val="18"/>
          <w:szCs w:val="18"/>
        </w:rPr>
        <w:footnoteRef/>
      </w:r>
      <w:r w:rsidRPr="00680E8D">
        <w:rPr>
          <w:rFonts w:ascii="Book Antiqua" w:hAnsi="Book Antiqua"/>
          <w:sz w:val="18"/>
          <w:szCs w:val="18"/>
        </w:rPr>
        <w:t xml:space="preserve"> This is not to deny that </w:t>
      </w:r>
      <w:r>
        <w:rPr>
          <w:rFonts w:ascii="Book Antiqua" w:hAnsi="Book Antiqua"/>
          <w:sz w:val="18"/>
          <w:szCs w:val="18"/>
        </w:rPr>
        <w:t xml:space="preserve">the initial act of saving </w:t>
      </w:r>
      <w:r w:rsidRPr="00680E8D">
        <w:rPr>
          <w:rFonts w:ascii="Book Antiqua" w:hAnsi="Book Antiqua"/>
          <w:sz w:val="18"/>
          <w:szCs w:val="18"/>
        </w:rPr>
        <w:t>f</w:t>
      </w:r>
      <w:r>
        <w:rPr>
          <w:rFonts w:ascii="Book Antiqua" w:hAnsi="Book Antiqua"/>
          <w:sz w:val="18"/>
          <w:szCs w:val="18"/>
        </w:rPr>
        <w:t>aith,</w:t>
      </w:r>
      <w:r w:rsidRPr="00680E8D">
        <w:rPr>
          <w:rFonts w:ascii="Book Antiqua" w:hAnsi="Book Antiqua"/>
          <w:sz w:val="18"/>
          <w:szCs w:val="18"/>
        </w:rPr>
        <w:t xml:space="preserve"> </w:t>
      </w:r>
      <w:r>
        <w:rPr>
          <w:rFonts w:ascii="Book Antiqua" w:hAnsi="Book Antiqua"/>
          <w:sz w:val="18"/>
          <w:szCs w:val="18"/>
        </w:rPr>
        <w:t>justification, etc. are not graces or gifts which come to us.</w:t>
      </w:r>
    </w:p>
  </w:footnote>
  <w:footnote w:id="16">
    <w:p w:rsidR="00C0511B" w:rsidRPr="00F348D5" w:rsidRDefault="00C0511B" w:rsidP="00C0511B">
      <w:pPr>
        <w:pStyle w:val="FootnoteText"/>
        <w:ind w:firstLine="360"/>
        <w:jc w:val="both"/>
        <w:rPr>
          <w:rFonts w:ascii="Book Antiqua" w:hAnsi="Book Antiqua"/>
          <w:sz w:val="18"/>
          <w:szCs w:val="18"/>
        </w:rPr>
      </w:pPr>
      <w:r w:rsidRPr="00F348D5">
        <w:rPr>
          <w:rStyle w:val="FootnoteReference"/>
          <w:rFonts w:ascii="Book Antiqua" w:hAnsi="Book Antiqua"/>
          <w:sz w:val="18"/>
          <w:szCs w:val="18"/>
        </w:rPr>
        <w:footnoteRef/>
      </w:r>
      <w:r w:rsidRPr="00F348D5">
        <w:rPr>
          <w:rFonts w:ascii="Book Antiqua" w:hAnsi="Book Antiqua"/>
          <w:sz w:val="18"/>
          <w:szCs w:val="18"/>
        </w:rPr>
        <w:t xml:space="preserve"> </w:t>
      </w:r>
      <w:r>
        <w:rPr>
          <w:rFonts w:ascii="Book Antiqua" w:hAnsi="Book Antiqua"/>
          <w:sz w:val="18"/>
          <w:szCs w:val="18"/>
        </w:rPr>
        <w:t xml:space="preserve">See </w:t>
      </w:r>
      <w:r w:rsidRPr="00F075DB">
        <w:rPr>
          <w:rFonts w:ascii="Book Antiqua" w:hAnsi="Book Antiqua"/>
          <w:sz w:val="18"/>
          <w:szCs w:val="18"/>
        </w:rPr>
        <w:t xml:space="preserve">Van Dixhorn, </w:t>
      </w:r>
      <w:r w:rsidRPr="00F075DB">
        <w:rPr>
          <w:rFonts w:ascii="Book Antiqua" w:hAnsi="Book Antiqua"/>
          <w:i/>
          <w:sz w:val="18"/>
          <w:szCs w:val="18"/>
        </w:rPr>
        <w:t>Confessing the Faith</w:t>
      </w:r>
      <w:r>
        <w:rPr>
          <w:rFonts w:ascii="Book Antiqua" w:hAnsi="Book Antiqua"/>
          <w:sz w:val="18"/>
          <w:szCs w:val="18"/>
        </w:rPr>
        <w:t>, 257. H</w:t>
      </w:r>
      <w:r w:rsidRPr="00F348D5">
        <w:rPr>
          <w:rFonts w:ascii="Book Antiqua" w:hAnsi="Book Antiqua"/>
          <w:sz w:val="18"/>
          <w:szCs w:val="18"/>
        </w:rPr>
        <w:t xml:space="preserve">e </w:t>
      </w:r>
      <w:r>
        <w:rPr>
          <w:rFonts w:ascii="Book Antiqua" w:hAnsi="Book Antiqua"/>
          <w:sz w:val="18"/>
          <w:szCs w:val="18"/>
        </w:rPr>
        <w:t xml:space="preserve">uses the </w:t>
      </w:r>
      <w:r w:rsidRPr="00F348D5">
        <w:rPr>
          <w:rFonts w:ascii="Book Antiqua" w:hAnsi="Book Antiqua"/>
          <w:sz w:val="18"/>
          <w:szCs w:val="18"/>
        </w:rPr>
        <w:t xml:space="preserve">phrase </w:t>
      </w:r>
      <w:r>
        <w:rPr>
          <w:rFonts w:ascii="Book Antiqua" w:hAnsi="Book Antiqua"/>
          <w:sz w:val="18"/>
          <w:szCs w:val="18"/>
        </w:rPr>
        <w:t>“</w:t>
      </w:r>
      <w:r w:rsidRPr="00F348D5">
        <w:rPr>
          <w:rFonts w:ascii="Book Antiqua" w:hAnsi="Book Antiqua"/>
          <w:sz w:val="18"/>
          <w:szCs w:val="18"/>
        </w:rPr>
        <w:t>Spirit-enable</w:t>
      </w:r>
      <w:r>
        <w:rPr>
          <w:rFonts w:ascii="Book Antiqua" w:hAnsi="Book Antiqua"/>
          <w:sz w:val="18"/>
          <w:szCs w:val="18"/>
        </w:rPr>
        <w:t>d</w:t>
      </w:r>
      <w:r w:rsidRPr="00F348D5">
        <w:rPr>
          <w:rFonts w:ascii="Book Antiqua" w:hAnsi="Book Antiqua"/>
          <w:sz w:val="18"/>
          <w:szCs w:val="18"/>
        </w:rPr>
        <w:t xml:space="preserve"> obedience</w:t>
      </w:r>
      <w:r>
        <w:rPr>
          <w:rFonts w:ascii="Book Antiqua" w:hAnsi="Book Antiqua"/>
          <w:sz w:val="18"/>
          <w:szCs w:val="18"/>
        </w:rPr>
        <w:t>” as a heading while commenting upon WCF 19.7.</w:t>
      </w:r>
    </w:p>
  </w:footnote>
  <w:footnote w:id="17">
    <w:p w:rsidR="00C0511B" w:rsidRPr="00530D58" w:rsidRDefault="00C0511B" w:rsidP="00C0511B">
      <w:pPr>
        <w:pStyle w:val="FootnoteText"/>
        <w:ind w:firstLine="360"/>
        <w:jc w:val="both"/>
        <w:rPr>
          <w:rFonts w:ascii="Book Antiqua" w:hAnsi="Book Antiqua"/>
          <w:sz w:val="18"/>
          <w:szCs w:val="18"/>
        </w:rPr>
      </w:pPr>
      <w:r w:rsidRPr="00530D58">
        <w:rPr>
          <w:rStyle w:val="FootnoteReference"/>
          <w:rFonts w:ascii="Book Antiqua" w:hAnsi="Book Antiqua"/>
          <w:sz w:val="18"/>
          <w:szCs w:val="18"/>
        </w:rPr>
        <w:footnoteRef/>
      </w:r>
      <w:r w:rsidRPr="00530D58">
        <w:rPr>
          <w:rFonts w:ascii="Book Antiqua" w:hAnsi="Book Antiqua"/>
          <w:sz w:val="18"/>
          <w:szCs w:val="18"/>
        </w:rPr>
        <w:t xml:space="preserve"> 2LCF 10.1 also cites Ezekiel 36:26 and 27.</w:t>
      </w:r>
    </w:p>
  </w:footnote>
  <w:footnote w:id="18">
    <w:p w:rsidR="00C0511B" w:rsidRPr="00530D58" w:rsidRDefault="00C0511B" w:rsidP="00C0511B">
      <w:pPr>
        <w:pStyle w:val="FootnoteText"/>
        <w:ind w:firstLine="360"/>
        <w:jc w:val="both"/>
        <w:rPr>
          <w:rFonts w:ascii="Book Antiqua" w:hAnsi="Book Antiqua"/>
          <w:sz w:val="18"/>
          <w:szCs w:val="18"/>
        </w:rPr>
      </w:pPr>
      <w:r w:rsidRPr="00530D58">
        <w:rPr>
          <w:rStyle w:val="FootnoteReference"/>
          <w:rFonts w:ascii="Book Antiqua" w:hAnsi="Book Antiqua"/>
          <w:sz w:val="18"/>
          <w:szCs w:val="18"/>
        </w:rPr>
        <w:footnoteRef/>
      </w:r>
      <w:r w:rsidRPr="00530D58">
        <w:rPr>
          <w:rFonts w:ascii="Book Antiqua" w:hAnsi="Book Antiqua"/>
          <w:sz w:val="18"/>
          <w:szCs w:val="18"/>
        </w:rPr>
        <w:t xml:space="preserve"> A. A. Hodge, </w:t>
      </w:r>
      <w:r w:rsidRPr="00530D58">
        <w:rPr>
          <w:rFonts w:ascii="Book Antiqua" w:hAnsi="Book Antiqua"/>
          <w:i/>
          <w:sz w:val="18"/>
          <w:szCs w:val="18"/>
        </w:rPr>
        <w:t>The Confession of Faith</w:t>
      </w:r>
      <w:r w:rsidRPr="00530D58">
        <w:rPr>
          <w:rFonts w:ascii="Book Antiqua" w:hAnsi="Book Antiqua"/>
          <w:sz w:val="18"/>
          <w:szCs w:val="18"/>
        </w:rPr>
        <w:t xml:space="preserve"> (1869; reprint, Edinburgh and Carlisle, PA: The Banner of Truth Trust, 1983), 258.</w:t>
      </w:r>
    </w:p>
  </w:footnote>
  <w:footnote w:id="19">
    <w:p w:rsidR="00C0511B" w:rsidRDefault="00C0511B" w:rsidP="00C0511B">
      <w:pPr>
        <w:pStyle w:val="FootnoteText"/>
        <w:ind w:firstLine="360"/>
        <w:jc w:val="both"/>
      </w:pPr>
      <w:r w:rsidRPr="00530D58">
        <w:rPr>
          <w:rStyle w:val="FootnoteReference"/>
          <w:rFonts w:ascii="Book Antiqua" w:hAnsi="Book Antiqua"/>
          <w:sz w:val="18"/>
          <w:szCs w:val="18"/>
        </w:rPr>
        <w:footnoteRef/>
      </w:r>
      <w:r w:rsidRPr="00530D58">
        <w:rPr>
          <w:rFonts w:ascii="Book Antiqua" w:hAnsi="Book Antiqua"/>
          <w:sz w:val="18"/>
          <w:szCs w:val="18"/>
        </w:rPr>
        <w:t xml:space="preserve"> Turretin, </w:t>
      </w:r>
      <w:r w:rsidRPr="00530D58">
        <w:rPr>
          <w:rFonts w:ascii="Book Antiqua" w:hAnsi="Book Antiqua"/>
          <w:i/>
          <w:sz w:val="18"/>
          <w:szCs w:val="18"/>
        </w:rPr>
        <w:t>Elenctic Theology</w:t>
      </w:r>
      <w:r w:rsidRPr="00530D58">
        <w:rPr>
          <w:rFonts w:ascii="Book Antiqua" w:hAnsi="Book Antiqua"/>
          <w:sz w:val="18"/>
          <w:szCs w:val="18"/>
        </w:rPr>
        <w:t>, 2.11.23 (II</w:t>
      </w:r>
      <w:proofErr w:type="gramStart"/>
      <w:r w:rsidRPr="00530D58">
        <w:rPr>
          <w:rFonts w:ascii="Book Antiqua" w:hAnsi="Book Antiqua"/>
          <w:sz w:val="18"/>
          <w:szCs w:val="18"/>
        </w:rPr>
        <w:t>:143</w:t>
      </w:r>
      <w:proofErr w:type="gramEnd"/>
      <w:r w:rsidRPr="00530D58">
        <w:rPr>
          <w:rFonts w:ascii="Book Antiqua" w:hAnsi="Book Antiqua"/>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6741"/>
    <w:multiLevelType w:val="hybridMultilevel"/>
    <w:tmpl w:val="EEA868F0"/>
    <w:lvl w:ilvl="0" w:tplc="DBFE229C">
      <w:start w:val="1"/>
      <w:numFmt w:val="lowerLetter"/>
      <w:lvlText w:val="%1)"/>
      <w:lvlJc w:val="left"/>
      <w:pPr>
        <w:tabs>
          <w:tab w:val="num" w:pos="2520"/>
        </w:tabs>
        <w:ind w:left="2520" w:hanging="360"/>
      </w:pPr>
      <w:rPr>
        <w:rFonts w:hint="default"/>
      </w:rPr>
    </w:lvl>
    <w:lvl w:ilvl="1" w:tplc="603A0E9C">
      <w:start w:val="1"/>
      <w:numFmt w:val="lowerRoman"/>
      <w:lvlText w:val="%2)"/>
      <w:lvlJc w:val="left"/>
      <w:pPr>
        <w:tabs>
          <w:tab w:val="num" w:pos="3600"/>
        </w:tabs>
        <w:ind w:left="3600" w:hanging="720"/>
      </w:pPr>
      <w:rPr>
        <w:rFonts w:hint="default"/>
      </w:rPr>
    </w:lvl>
    <w:lvl w:ilvl="2" w:tplc="F0BC1350">
      <w:start w:val="1"/>
      <w:numFmt w:val="upperLetter"/>
      <w:lvlText w:val="%3."/>
      <w:lvlJc w:val="left"/>
      <w:pPr>
        <w:tabs>
          <w:tab w:val="num" w:pos="4140"/>
        </w:tabs>
        <w:ind w:left="4140" w:hanging="360"/>
      </w:pPr>
      <w:rPr>
        <w:rFonts w:hint="default"/>
      </w:rPr>
    </w:lvl>
    <w:lvl w:ilvl="3" w:tplc="8EACE1B0">
      <w:start w:val="1"/>
      <w:numFmt w:val="decimal"/>
      <w:lvlText w:val="%4."/>
      <w:lvlJc w:val="left"/>
      <w:pPr>
        <w:tabs>
          <w:tab w:val="num" w:pos="4680"/>
        </w:tabs>
        <w:ind w:left="4680" w:hanging="360"/>
      </w:pPr>
      <w:rPr>
        <w:rFonts w:hint="default"/>
      </w:rPr>
    </w:lvl>
    <w:lvl w:ilvl="4" w:tplc="04090019">
      <w:start w:val="1"/>
      <w:numFmt w:val="lowerLetter"/>
      <w:lvlText w:val="%5."/>
      <w:lvlJc w:val="left"/>
      <w:pPr>
        <w:tabs>
          <w:tab w:val="num" w:pos="1800"/>
        </w:tabs>
        <w:ind w:left="1800" w:hanging="360"/>
      </w:pPr>
      <w:rPr>
        <w:rFonts w:hint="default"/>
      </w:rPr>
    </w:lvl>
    <w:lvl w:ilvl="5" w:tplc="8CE00716">
      <w:start w:val="1"/>
      <w:numFmt w:val="lowerLetter"/>
      <w:lvlText w:val="%6)"/>
      <w:lvlJc w:val="left"/>
      <w:pPr>
        <w:tabs>
          <w:tab w:val="num" w:pos="6300"/>
        </w:tabs>
        <w:ind w:left="6300" w:hanging="360"/>
      </w:pPr>
      <w:rPr>
        <w:rFonts w:ascii="Times New Roman" w:eastAsia="Times New Roman" w:hAnsi="Times New Roman" w:cs="Times New Roman"/>
      </w:r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
    <w:nsid w:val="162003A0"/>
    <w:multiLevelType w:val="hybridMultilevel"/>
    <w:tmpl w:val="B7FE198E"/>
    <w:lvl w:ilvl="0" w:tplc="4720E5A8">
      <w:start w:val="1"/>
      <w:numFmt w:val="lowerLetter"/>
      <w:lvlText w:val="%1)"/>
      <w:lvlJc w:val="left"/>
      <w:pPr>
        <w:tabs>
          <w:tab w:val="num" w:pos="2520"/>
        </w:tabs>
        <w:ind w:left="2520" w:hanging="360"/>
      </w:pPr>
      <w:rPr>
        <w:rFonts w:hint="default"/>
      </w:rPr>
    </w:lvl>
    <w:lvl w:ilvl="1" w:tplc="2DCC3076">
      <w:start w:val="1"/>
      <w:numFmt w:val="decimal"/>
      <w:lvlText w:val="%2)"/>
      <w:lvlJc w:val="left"/>
      <w:pPr>
        <w:tabs>
          <w:tab w:val="num" w:pos="3240"/>
        </w:tabs>
        <w:ind w:left="3240" w:hanging="360"/>
      </w:pPr>
      <w:rPr>
        <w:rFonts w:ascii="Times New Roman" w:eastAsia="Times New Roman" w:hAnsi="Times New Roman" w:cs="Times New Roman"/>
      </w:rPr>
    </w:lvl>
    <w:lvl w:ilvl="2" w:tplc="0409001B">
      <w:start w:val="1"/>
      <w:numFmt w:val="lowerRoman"/>
      <w:lvlText w:val="%3."/>
      <w:lvlJc w:val="right"/>
      <w:pPr>
        <w:tabs>
          <w:tab w:val="num" w:pos="3960"/>
        </w:tabs>
        <w:ind w:left="3960" w:hanging="180"/>
      </w:pPr>
    </w:lvl>
    <w:lvl w:ilvl="3" w:tplc="88B291F2">
      <w:start w:val="1"/>
      <w:numFmt w:val="upperLetter"/>
      <w:lvlText w:val="%4."/>
      <w:lvlJc w:val="left"/>
      <w:pPr>
        <w:tabs>
          <w:tab w:val="num" w:pos="4680"/>
        </w:tabs>
        <w:ind w:left="4680" w:hanging="360"/>
      </w:pPr>
      <w:rPr>
        <w:rFonts w:hint="default"/>
      </w:rPr>
    </w:lvl>
    <w:lvl w:ilvl="4" w:tplc="8C5E9018">
      <w:start w:val="1"/>
      <w:numFmt w:val="decimal"/>
      <w:lvlText w:val="%5."/>
      <w:lvlJc w:val="left"/>
      <w:pPr>
        <w:tabs>
          <w:tab w:val="num" w:pos="5400"/>
        </w:tabs>
        <w:ind w:left="5400" w:hanging="360"/>
      </w:pPr>
      <w:rPr>
        <w:rFonts w:ascii="Book Antiqua" w:eastAsia="Times New Roman" w:hAnsi="Book Antiqua" w:cs="Times New Roman" w:hint="default"/>
      </w:rPr>
    </w:lvl>
    <w:lvl w:ilvl="5" w:tplc="96ACBA3E">
      <w:start w:val="1"/>
      <w:numFmt w:val="lowerLetter"/>
      <w:lvlText w:val="%6."/>
      <w:lvlJc w:val="left"/>
      <w:pPr>
        <w:tabs>
          <w:tab w:val="num" w:pos="6300"/>
        </w:tabs>
        <w:ind w:left="6300" w:hanging="360"/>
      </w:pPr>
      <w:rPr>
        <w:rFonts w:ascii="Book Antiqua" w:eastAsia="Times New Roman" w:hAnsi="Book Antiqua" w:cs="Times New Roman" w:hint="default"/>
      </w:r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
    <w:nsid w:val="25AB4AA1"/>
    <w:multiLevelType w:val="hybridMultilevel"/>
    <w:tmpl w:val="1898E6AE"/>
    <w:lvl w:ilvl="0" w:tplc="70E68206">
      <w:start w:val="9"/>
      <w:numFmt w:val="lowerLetter"/>
      <w:lvlText w:val="%1)"/>
      <w:lvlJc w:val="left"/>
      <w:pPr>
        <w:tabs>
          <w:tab w:val="num" w:pos="2880"/>
        </w:tabs>
        <w:ind w:left="2880" w:hanging="360"/>
      </w:pPr>
      <w:rPr>
        <w:rFonts w:hint="default"/>
      </w:rPr>
    </w:lvl>
    <w:lvl w:ilvl="1" w:tplc="210E7414">
      <w:start w:val="1"/>
      <w:numFmt w:val="upperLetter"/>
      <w:pStyle w:val="Heading4"/>
      <w:lvlText w:val="%2."/>
      <w:lvlJc w:val="left"/>
      <w:pPr>
        <w:tabs>
          <w:tab w:val="num" w:pos="3600"/>
        </w:tabs>
        <w:ind w:left="3600" w:hanging="360"/>
      </w:pPr>
      <w:rPr>
        <w:rFonts w:hint="default"/>
      </w:rPr>
    </w:lvl>
    <w:lvl w:ilvl="2" w:tplc="E5A6A5F0">
      <w:start w:val="1"/>
      <w:numFmt w:val="decimal"/>
      <w:lvlText w:val="%3."/>
      <w:lvlJc w:val="left"/>
      <w:pPr>
        <w:tabs>
          <w:tab w:val="num" w:pos="4500"/>
        </w:tabs>
        <w:ind w:left="4500" w:hanging="360"/>
      </w:pPr>
      <w:rPr>
        <w:rFonts w:hint="default"/>
      </w:rPr>
    </w:lvl>
    <w:lvl w:ilvl="3" w:tplc="C268C8F6">
      <w:start w:val="1"/>
      <w:numFmt w:val="lowerLetter"/>
      <w:lvlText w:val="%4."/>
      <w:lvlJc w:val="left"/>
      <w:pPr>
        <w:tabs>
          <w:tab w:val="num" w:pos="5040"/>
        </w:tabs>
        <w:ind w:left="5040" w:hanging="360"/>
      </w:pPr>
      <w:rPr>
        <w:rFonts w:hint="default"/>
      </w:rPr>
    </w:lvl>
    <w:lvl w:ilvl="4" w:tplc="54FEF644">
      <w:start w:val="1"/>
      <w:numFmt w:val="decimal"/>
      <w:lvlText w:val="%5)"/>
      <w:lvlJc w:val="left"/>
      <w:pPr>
        <w:tabs>
          <w:tab w:val="num" w:pos="5760"/>
        </w:tabs>
        <w:ind w:left="5760" w:hanging="360"/>
      </w:pPr>
      <w:rPr>
        <w:rFonts w:hint="default"/>
      </w:r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
    <w:nsid w:val="54CF4ED1"/>
    <w:multiLevelType w:val="hybridMultilevel"/>
    <w:tmpl w:val="73B6AAF4"/>
    <w:lvl w:ilvl="0" w:tplc="D39E13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96B7D0E"/>
    <w:multiLevelType w:val="hybridMultilevel"/>
    <w:tmpl w:val="CC72EE12"/>
    <w:lvl w:ilvl="0" w:tplc="3B2A0E78">
      <w:start w:val="1"/>
      <w:numFmt w:val="decimal"/>
      <w:lvlText w:val="%1."/>
      <w:lvlJc w:val="left"/>
      <w:pPr>
        <w:tabs>
          <w:tab w:val="num" w:pos="720"/>
        </w:tabs>
        <w:ind w:left="720" w:hanging="720"/>
      </w:pPr>
      <w:rPr>
        <w:rFonts w:hint="default"/>
      </w:rPr>
    </w:lvl>
    <w:lvl w:ilvl="1" w:tplc="A448ED34">
      <w:start w:val="1"/>
      <w:numFmt w:val="lowerRoman"/>
      <w:lvlText w:val="%2)"/>
      <w:lvlJc w:val="left"/>
      <w:pPr>
        <w:tabs>
          <w:tab w:val="num" w:pos="3600"/>
        </w:tabs>
        <w:ind w:left="3600" w:hanging="720"/>
      </w:pPr>
      <w:rPr>
        <w:rFonts w:hint="default"/>
      </w:rPr>
    </w:lvl>
    <w:lvl w:ilvl="2" w:tplc="8B06F322">
      <w:start w:val="1"/>
      <w:numFmt w:val="decimal"/>
      <w:lvlText w:val="%3)"/>
      <w:lvlJc w:val="left"/>
      <w:pPr>
        <w:tabs>
          <w:tab w:val="num" w:pos="4140"/>
        </w:tabs>
        <w:ind w:left="4140" w:hanging="360"/>
      </w:pPr>
      <w:rPr>
        <w:rFonts w:hint="default"/>
      </w:rPr>
    </w:lvl>
    <w:lvl w:ilvl="3" w:tplc="A7FA930C">
      <w:start w:val="1"/>
      <w:numFmt w:val="upperLetter"/>
      <w:pStyle w:val="Heading7"/>
      <w:lvlText w:val="%4."/>
      <w:lvlJc w:val="left"/>
      <w:pPr>
        <w:tabs>
          <w:tab w:val="num" w:pos="4680"/>
        </w:tabs>
        <w:ind w:left="4680" w:hanging="360"/>
      </w:pPr>
      <w:rPr>
        <w:rFonts w:hint="default"/>
      </w:rPr>
    </w:lvl>
    <w:lvl w:ilvl="4" w:tplc="047EA95C">
      <w:start w:val="1"/>
      <w:numFmt w:val="decimal"/>
      <w:lvlText w:val="%5."/>
      <w:lvlJc w:val="left"/>
      <w:pPr>
        <w:tabs>
          <w:tab w:val="num" w:pos="5400"/>
        </w:tabs>
        <w:ind w:left="5400" w:hanging="360"/>
      </w:pPr>
      <w:rPr>
        <w:rFonts w:hint="default"/>
      </w:rPr>
    </w:lvl>
    <w:lvl w:ilvl="5" w:tplc="FAD20072">
      <w:start w:val="1"/>
      <w:numFmt w:val="lowerLetter"/>
      <w:lvlText w:val="%6."/>
      <w:lvlJc w:val="left"/>
      <w:pPr>
        <w:tabs>
          <w:tab w:val="num" w:pos="6300"/>
        </w:tabs>
        <w:ind w:left="6300" w:hanging="360"/>
      </w:pPr>
      <w:rPr>
        <w:rFonts w:hint="default"/>
      </w:rPr>
    </w:lvl>
    <w:lvl w:ilvl="6" w:tplc="71B83840">
      <w:start w:val="1"/>
      <w:numFmt w:val="lowerLetter"/>
      <w:lvlText w:val="%7)"/>
      <w:lvlJc w:val="left"/>
      <w:pPr>
        <w:tabs>
          <w:tab w:val="num" w:pos="6840"/>
        </w:tabs>
        <w:ind w:left="6840" w:hanging="360"/>
      </w:pPr>
      <w:rPr>
        <w:rFonts w:hint="default"/>
      </w:rPr>
    </w:lvl>
    <w:lvl w:ilvl="7" w:tplc="3B2A0E78">
      <w:start w:val="1"/>
      <w:numFmt w:val="decimal"/>
      <w:lvlText w:val="%8."/>
      <w:lvlJc w:val="left"/>
      <w:pPr>
        <w:tabs>
          <w:tab w:val="num" w:pos="7920"/>
        </w:tabs>
        <w:ind w:left="7920" w:hanging="720"/>
      </w:pPr>
      <w:rPr>
        <w:rFonts w:hint="default"/>
      </w:rPr>
    </w:lvl>
    <w:lvl w:ilvl="8" w:tplc="0409001B">
      <w:start w:val="1"/>
      <w:numFmt w:val="lowerRoman"/>
      <w:lvlText w:val="%9."/>
      <w:lvlJc w:val="right"/>
      <w:pPr>
        <w:tabs>
          <w:tab w:val="num" w:pos="8280"/>
        </w:tabs>
        <w:ind w:left="82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1B"/>
    <w:rsid w:val="00157410"/>
    <w:rsid w:val="003065DB"/>
    <w:rsid w:val="004B5C84"/>
    <w:rsid w:val="005D022C"/>
    <w:rsid w:val="00C0511B"/>
    <w:rsid w:val="00CA7570"/>
    <w:rsid w:val="00F71313"/>
    <w:rsid w:val="00FD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0511B"/>
    <w:pPr>
      <w:keepNext/>
      <w:numPr>
        <w:ilvl w:val="1"/>
        <w:numId w:val="1"/>
      </w:numPr>
      <w:tabs>
        <w:tab w:val="clear" w:pos="3600"/>
        <w:tab w:val="num" w:pos="1080"/>
      </w:tabs>
      <w:spacing w:after="0" w:line="240" w:lineRule="auto"/>
      <w:ind w:left="1080"/>
      <w:jc w:val="both"/>
      <w:outlineLvl w:val="3"/>
    </w:pPr>
    <w:rPr>
      <w:rFonts w:ascii="Times New Roman" w:eastAsia="Times New Roman" w:hAnsi="Times New Roman" w:cs="Times New Roman"/>
      <w:bCs/>
      <w:sz w:val="24"/>
      <w:szCs w:val="20"/>
    </w:rPr>
  </w:style>
  <w:style w:type="paragraph" w:styleId="Heading7">
    <w:name w:val="heading 7"/>
    <w:basedOn w:val="Normal"/>
    <w:next w:val="Normal"/>
    <w:link w:val="Heading7Char"/>
    <w:qFormat/>
    <w:rsid w:val="00C0511B"/>
    <w:pPr>
      <w:keepNext/>
      <w:numPr>
        <w:ilvl w:val="3"/>
        <w:numId w:val="3"/>
      </w:numPr>
      <w:tabs>
        <w:tab w:val="clear" w:pos="4680"/>
        <w:tab w:val="num" w:pos="1080"/>
      </w:tabs>
      <w:spacing w:after="0" w:line="240" w:lineRule="auto"/>
      <w:ind w:left="108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511B"/>
    <w:rPr>
      <w:rFonts w:ascii="Times New Roman" w:eastAsia="Times New Roman" w:hAnsi="Times New Roman" w:cs="Times New Roman"/>
      <w:bCs/>
      <w:sz w:val="24"/>
      <w:szCs w:val="20"/>
    </w:rPr>
  </w:style>
  <w:style w:type="character" w:customStyle="1" w:styleId="Heading7Char">
    <w:name w:val="Heading 7 Char"/>
    <w:basedOn w:val="DefaultParagraphFont"/>
    <w:link w:val="Heading7"/>
    <w:rsid w:val="00C0511B"/>
    <w:rPr>
      <w:rFonts w:ascii="Times New Roman" w:eastAsia="Times New Roman" w:hAnsi="Times New Roman" w:cs="Times New Roman"/>
      <w:sz w:val="24"/>
      <w:szCs w:val="20"/>
    </w:rPr>
  </w:style>
  <w:style w:type="paragraph" w:styleId="ListParagraph">
    <w:name w:val="List Paragraph"/>
    <w:basedOn w:val="Normal"/>
    <w:uiPriority w:val="34"/>
    <w:qFormat/>
    <w:rsid w:val="00C0511B"/>
    <w:pPr>
      <w:ind w:left="720"/>
      <w:contextualSpacing/>
    </w:pPr>
  </w:style>
  <w:style w:type="paragraph" w:styleId="FootnoteText">
    <w:name w:val="footnote text"/>
    <w:basedOn w:val="Normal"/>
    <w:link w:val="FootnoteTextChar"/>
    <w:semiHidden/>
    <w:unhideWhenUsed/>
    <w:rsid w:val="00C0511B"/>
    <w:pPr>
      <w:spacing w:after="0" w:line="240" w:lineRule="auto"/>
    </w:pPr>
    <w:rPr>
      <w:sz w:val="20"/>
      <w:szCs w:val="20"/>
    </w:rPr>
  </w:style>
  <w:style w:type="character" w:customStyle="1" w:styleId="FootnoteTextChar">
    <w:name w:val="Footnote Text Char"/>
    <w:basedOn w:val="DefaultParagraphFont"/>
    <w:link w:val="FootnoteText"/>
    <w:semiHidden/>
    <w:rsid w:val="00C0511B"/>
    <w:rPr>
      <w:sz w:val="20"/>
      <w:szCs w:val="20"/>
    </w:rPr>
  </w:style>
  <w:style w:type="character" w:styleId="FootnoteReference">
    <w:name w:val="footnote reference"/>
    <w:basedOn w:val="DefaultParagraphFont"/>
    <w:semiHidden/>
    <w:unhideWhenUsed/>
    <w:rsid w:val="00C0511B"/>
    <w:rPr>
      <w:vertAlign w:val="superscript"/>
    </w:rPr>
  </w:style>
  <w:style w:type="paragraph" w:styleId="BodyText3">
    <w:name w:val="Body Text 3"/>
    <w:basedOn w:val="Normal"/>
    <w:link w:val="BodyText3Char"/>
    <w:uiPriority w:val="99"/>
    <w:unhideWhenUsed/>
    <w:rsid w:val="00C0511B"/>
    <w:pPr>
      <w:spacing w:after="120" w:line="240" w:lineRule="auto"/>
      <w:jc w:val="both"/>
    </w:pPr>
    <w:rPr>
      <w:rFonts w:ascii="Times New Roman" w:hAnsi="Times New Roman"/>
      <w:sz w:val="16"/>
      <w:szCs w:val="16"/>
    </w:rPr>
  </w:style>
  <w:style w:type="character" w:customStyle="1" w:styleId="BodyText3Char">
    <w:name w:val="Body Text 3 Char"/>
    <w:basedOn w:val="DefaultParagraphFont"/>
    <w:link w:val="BodyText3"/>
    <w:uiPriority w:val="99"/>
    <w:rsid w:val="00C0511B"/>
    <w:rPr>
      <w:rFonts w:ascii="Times New Roman" w:hAnsi="Times New Roman"/>
      <w:sz w:val="16"/>
      <w:szCs w:val="16"/>
    </w:rPr>
  </w:style>
  <w:style w:type="paragraph" w:styleId="Footer">
    <w:name w:val="footer"/>
    <w:basedOn w:val="Normal"/>
    <w:link w:val="FooterChar"/>
    <w:uiPriority w:val="99"/>
    <w:unhideWhenUsed/>
    <w:rsid w:val="00C05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0511B"/>
    <w:pPr>
      <w:keepNext/>
      <w:numPr>
        <w:ilvl w:val="1"/>
        <w:numId w:val="1"/>
      </w:numPr>
      <w:tabs>
        <w:tab w:val="clear" w:pos="3600"/>
        <w:tab w:val="num" w:pos="1080"/>
      </w:tabs>
      <w:spacing w:after="0" w:line="240" w:lineRule="auto"/>
      <w:ind w:left="1080"/>
      <w:jc w:val="both"/>
      <w:outlineLvl w:val="3"/>
    </w:pPr>
    <w:rPr>
      <w:rFonts w:ascii="Times New Roman" w:eastAsia="Times New Roman" w:hAnsi="Times New Roman" w:cs="Times New Roman"/>
      <w:bCs/>
      <w:sz w:val="24"/>
      <w:szCs w:val="20"/>
    </w:rPr>
  </w:style>
  <w:style w:type="paragraph" w:styleId="Heading7">
    <w:name w:val="heading 7"/>
    <w:basedOn w:val="Normal"/>
    <w:next w:val="Normal"/>
    <w:link w:val="Heading7Char"/>
    <w:qFormat/>
    <w:rsid w:val="00C0511B"/>
    <w:pPr>
      <w:keepNext/>
      <w:numPr>
        <w:ilvl w:val="3"/>
        <w:numId w:val="3"/>
      </w:numPr>
      <w:tabs>
        <w:tab w:val="clear" w:pos="4680"/>
        <w:tab w:val="num" w:pos="1080"/>
      </w:tabs>
      <w:spacing w:after="0" w:line="240" w:lineRule="auto"/>
      <w:ind w:left="1080"/>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511B"/>
    <w:rPr>
      <w:rFonts w:ascii="Times New Roman" w:eastAsia="Times New Roman" w:hAnsi="Times New Roman" w:cs="Times New Roman"/>
      <w:bCs/>
      <w:sz w:val="24"/>
      <w:szCs w:val="20"/>
    </w:rPr>
  </w:style>
  <w:style w:type="character" w:customStyle="1" w:styleId="Heading7Char">
    <w:name w:val="Heading 7 Char"/>
    <w:basedOn w:val="DefaultParagraphFont"/>
    <w:link w:val="Heading7"/>
    <w:rsid w:val="00C0511B"/>
    <w:rPr>
      <w:rFonts w:ascii="Times New Roman" w:eastAsia="Times New Roman" w:hAnsi="Times New Roman" w:cs="Times New Roman"/>
      <w:sz w:val="24"/>
      <w:szCs w:val="20"/>
    </w:rPr>
  </w:style>
  <w:style w:type="paragraph" w:styleId="ListParagraph">
    <w:name w:val="List Paragraph"/>
    <w:basedOn w:val="Normal"/>
    <w:uiPriority w:val="34"/>
    <w:qFormat/>
    <w:rsid w:val="00C0511B"/>
    <w:pPr>
      <w:ind w:left="720"/>
      <w:contextualSpacing/>
    </w:pPr>
  </w:style>
  <w:style w:type="paragraph" w:styleId="FootnoteText">
    <w:name w:val="footnote text"/>
    <w:basedOn w:val="Normal"/>
    <w:link w:val="FootnoteTextChar"/>
    <w:semiHidden/>
    <w:unhideWhenUsed/>
    <w:rsid w:val="00C0511B"/>
    <w:pPr>
      <w:spacing w:after="0" w:line="240" w:lineRule="auto"/>
    </w:pPr>
    <w:rPr>
      <w:sz w:val="20"/>
      <w:szCs w:val="20"/>
    </w:rPr>
  </w:style>
  <w:style w:type="character" w:customStyle="1" w:styleId="FootnoteTextChar">
    <w:name w:val="Footnote Text Char"/>
    <w:basedOn w:val="DefaultParagraphFont"/>
    <w:link w:val="FootnoteText"/>
    <w:semiHidden/>
    <w:rsid w:val="00C0511B"/>
    <w:rPr>
      <w:sz w:val="20"/>
      <w:szCs w:val="20"/>
    </w:rPr>
  </w:style>
  <w:style w:type="character" w:styleId="FootnoteReference">
    <w:name w:val="footnote reference"/>
    <w:basedOn w:val="DefaultParagraphFont"/>
    <w:semiHidden/>
    <w:unhideWhenUsed/>
    <w:rsid w:val="00C0511B"/>
    <w:rPr>
      <w:vertAlign w:val="superscript"/>
    </w:rPr>
  </w:style>
  <w:style w:type="paragraph" w:styleId="BodyText3">
    <w:name w:val="Body Text 3"/>
    <w:basedOn w:val="Normal"/>
    <w:link w:val="BodyText3Char"/>
    <w:uiPriority w:val="99"/>
    <w:unhideWhenUsed/>
    <w:rsid w:val="00C0511B"/>
    <w:pPr>
      <w:spacing w:after="120" w:line="240" w:lineRule="auto"/>
      <w:jc w:val="both"/>
    </w:pPr>
    <w:rPr>
      <w:rFonts w:ascii="Times New Roman" w:hAnsi="Times New Roman"/>
      <w:sz w:val="16"/>
      <w:szCs w:val="16"/>
    </w:rPr>
  </w:style>
  <w:style w:type="character" w:customStyle="1" w:styleId="BodyText3Char">
    <w:name w:val="Body Text 3 Char"/>
    <w:basedOn w:val="DefaultParagraphFont"/>
    <w:link w:val="BodyText3"/>
    <w:uiPriority w:val="99"/>
    <w:rsid w:val="00C0511B"/>
    <w:rPr>
      <w:rFonts w:ascii="Times New Roman" w:hAnsi="Times New Roman"/>
      <w:sz w:val="16"/>
      <w:szCs w:val="16"/>
    </w:rPr>
  </w:style>
  <w:style w:type="paragraph" w:styleId="Footer">
    <w:name w:val="footer"/>
    <w:basedOn w:val="Normal"/>
    <w:link w:val="FooterChar"/>
    <w:uiPriority w:val="99"/>
    <w:unhideWhenUsed/>
    <w:rsid w:val="00C05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4104</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Vickie</cp:lastModifiedBy>
  <cp:revision>2</cp:revision>
  <cp:lastPrinted>2016-02-19T00:11:00Z</cp:lastPrinted>
  <dcterms:created xsi:type="dcterms:W3CDTF">2016-04-11T16:07:00Z</dcterms:created>
  <dcterms:modified xsi:type="dcterms:W3CDTF">2016-04-11T16:07:00Z</dcterms:modified>
</cp:coreProperties>
</file>